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25" w:rsidRPr="00810A63" w:rsidRDefault="00100F25" w:rsidP="00100F25">
      <w:pPr>
        <w:jc w:val="center"/>
        <w:rPr>
          <w:sz w:val="20"/>
        </w:rPr>
      </w:pPr>
      <w:r w:rsidRPr="00810A63">
        <w:rPr>
          <w:i/>
          <w:iCs/>
          <w:sz w:val="20"/>
        </w:rPr>
        <w:t>Presented at the 201</w:t>
      </w:r>
      <w:r w:rsidR="00C119F2">
        <w:rPr>
          <w:i/>
          <w:iCs/>
          <w:sz w:val="20"/>
        </w:rPr>
        <w:t>1</w:t>
      </w:r>
      <w:r w:rsidRPr="00810A63">
        <w:rPr>
          <w:i/>
          <w:iCs/>
          <w:sz w:val="20"/>
        </w:rPr>
        <w:t xml:space="preserve"> Annual Meeting of the Midwestern Psychological Association, Chicago, IL </w:t>
      </w:r>
    </w:p>
    <w:p w:rsidR="00100F25" w:rsidRDefault="00100F25" w:rsidP="00100F25">
      <w:pPr>
        <w:jc w:val="center"/>
        <w:rPr>
          <w:b/>
          <w:bCs/>
        </w:rPr>
      </w:pPr>
    </w:p>
    <w:p w:rsidR="00C119F2" w:rsidRDefault="00C119F2" w:rsidP="00C119F2">
      <w:pPr>
        <w:jc w:val="center"/>
        <w:rPr>
          <w:bCs/>
          <w:sz w:val="24"/>
          <w:szCs w:val="24"/>
        </w:rPr>
      </w:pPr>
      <w:r w:rsidRPr="00C119F2">
        <w:rPr>
          <w:bCs/>
          <w:sz w:val="24"/>
          <w:szCs w:val="24"/>
        </w:rPr>
        <w:t>Adult Attachment and Mate-Seeking Preferences</w:t>
      </w:r>
    </w:p>
    <w:p w:rsidR="00C119F2" w:rsidRPr="00477956" w:rsidRDefault="00C119F2" w:rsidP="00C119F2">
      <w:pPr>
        <w:jc w:val="center"/>
        <w:rPr>
          <w:bCs/>
          <w:sz w:val="16"/>
          <w:szCs w:val="16"/>
        </w:rPr>
      </w:pPr>
    </w:p>
    <w:p w:rsidR="00C119F2" w:rsidRPr="00C119F2" w:rsidRDefault="00C119F2" w:rsidP="00C119F2">
      <w:pPr>
        <w:jc w:val="center"/>
        <w:rPr>
          <w:bCs/>
          <w:szCs w:val="22"/>
        </w:rPr>
      </w:pPr>
      <w:r w:rsidRPr="00C119F2">
        <w:rPr>
          <w:bCs/>
          <w:szCs w:val="22"/>
        </w:rPr>
        <w:t xml:space="preserve">David M. </w:t>
      </w:r>
      <w:proofErr w:type="spellStart"/>
      <w:r w:rsidRPr="00C119F2">
        <w:rPr>
          <w:bCs/>
          <w:szCs w:val="22"/>
        </w:rPr>
        <w:t>Njus</w:t>
      </w:r>
      <w:proofErr w:type="spellEnd"/>
      <w:r w:rsidRPr="00C119F2">
        <w:rPr>
          <w:bCs/>
          <w:szCs w:val="22"/>
        </w:rPr>
        <w:t xml:space="preserve">, Andrew </w:t>
      </w:r>
      <w:proofErr w:type="spellStart"/>
      <w:r w:rsidRPr="00C119F2">
        <w:rPr>
          <w:bCs/>
          <w:szCs w:val="22"/>
        </w:rPr>
        <w:t>Tjossem</w:t>
      </w:r>
      <w:proofErr w:type="spellEnd"/>
      <w:r w:rsidRPr="00C119F2">
        <w:rPr>
          <w:bCs/>
          <w:szCs w:val="22"/>
        </w:rPr>
        <w:t xml:space="preserve">, Brian </w:t>
      </w:r>
      <w:proofErr w:type="spellStart"/>
      <w:r w:rsidRPr="00C119F2">
        <w:rPr>
          <w:bCs/>
          <w:szCs w:val="22"/>
        </w:rPr>
        <w:t>Hannegan</w:t>
      </w:r>
      <w:proofErr w:type="spellEnd"/>
      <w:r w:rsidRPr="00C119F2">
        <w:rPr>
          <w:bCs/>
          <w:szCs w:val="22"/>
        </w:rPr>
        <w:t xml:space="preserve"> McKee, and Holly </w:t>
      </w:r>
      <w:proofErr w:type="spellStart"/>
      <w:r w:rsidRPr="00C119F2">
        <w:rPr>
          <w:bCs/>
          <w:szCs w:val="22"/>
        </w:rPr>
        <w:t>Godar</w:t>
      </w:r>
      <w:proofErr w:type="spellEnd"/>
    </w:p>
    <w:p w:rsidR="00C119F2" w:rsidRPr="00C119F2" w:rsidRDefault="00C119F2" w:rsidP="00C119F2">
      <w:pPr>
        <w:jc w:val="center"/>
        <w:rPr>
          <w:bCs/>
          <w:sz w:val="24"/>
          <w:szCs w:val="24"/>
        </w:rPr>
      </w:pPr>
      <w:r w:rsidRPr="00C119F2">
        <w:rPr>
          <w:bCs/>
          <w:szCs w:val="22"/>
        </w:rPr>
        <w:t>Luther College</w:t>
      </w:r>
    </w:p>
    <w:p w:rsidR="00E35A32" w:rsidRDefault="00E35A32"/>
    <w:p w:rsidR="00C119F2" w:rsidRPr="00C119F2" w:rsidRDefault="00C119F2" w:rsidP="00C119F2">
      <w:pPr>
        <w:ind w:firstLine="720"/>
        <w:rPr>
          <w:sz w:val="20"/>
        </w:rPr>
      </w:pPr>
      <w:r w:rsidRPr="00C119F2">
        <w:rPr>
          <w:sz w:val="20"/>
        </w:rPr>
        <w:t xml:space="preserve">Buss and Schmitt (1993) proposed that there are evolutionary-based differences in male/female mating preferences.  One of their hypotheses, based on Sexual Strategies Theory, is that men and women differ in the minimum amount of parental investment required of them.  This asymmetry leads men to be more likely than women to pursue short-term mating strategies, resulting in efforts to impregnate as many fertile women as possible.  Women, on the other hand, are less likely to pursue short-term mating strategies, preferring instead long-term mating strategies where the quantity and quality of resources their mate brings to them and their offspring are </w:t>
      </w:r>
      <w:proofErr w:type="gramStart"/>
      <w:r w:rsidRPr="00C119F2">
        <w:rPr>
          <w:sz w:val="20"/>
        </w:rPr>
        <w:t>key</w:t>
      </w:r>
      <w:proofErr w:type="gramEnd"/>
      <w:r w:rsidRPr="00C119F2">
        <w:rPr>
          <w:sz w:val="20"/>
        </w:rPr>
        <w:t>.</w:t>
      </w:r>
    </w:p>
    <w:p w:rsidR="00C119F2" w:rsidRPr="00C119F2" w:rsidRDefault="00C119F2" w:rsidP="00C119F2">
      <w:pPr>
        <w:rPr>
          <w:sz w:val="20"/>
        </w:rPr>
      </w:pPr>
      <w:r w:rsidRPr="00C119F2">
        <w:rPr>
          <w:sz w:val="20"/>
        </w:rPr>
        <w:tab/>
        <w:t xml:space="preserve">Research in the past decade has attempted to link these evolved sex differences with attachment patterns.  Schmitt et al (2003a) found that in most but not all of the 62 cultural regions of the world they studied, men were more dismissing than women in their attachment orientation (i.e., more comfortable without close emotional relationships, greater desire to be independent and self-sufficient).  Del </w:t>
      </w:r>
      <w:proofErr w:type="spellStart"/>
      <w:r w:rsidRPr="00C119F2">
        <w:rPr>
          <w:sz w:val="20"/>
        </w:rPr>
        <w:t>Giudice</w:t>
      </w:r>
      <w:proofErr w:type="spellEnd"/>
      <w:r w:rsidRPr="00C119F2">
        <w:rPr>
          <w:sz w:val="20"/>
        </w:rPr>
        <w:t xml:space="preserve"> (2009) has incorporated Schmitt et </w:t>
      </w:r>
      <w:proofErr w:type="spellStart"/>
      <w:r w:rsidRPr="00C119F2">
        <w:rPr>
          <w:sz w:val="20"/>
        </w:rPr>
        <w:t>al’s</w:t>
      </w:r>
      <w:proofErr w:type="spellEnd"/>
      <w:r w:rsidRPr="00C119F2">
        <w:rPr>
          <w:sz w:val="20"/>
        </w:rPr>
        <w:t xml:space="preserve"> findings into a model that proposes that a secure attachment orientation (i.e., comfortable being emotionally intimate with others and not fearing a lack of such relationships) is associated with a focus on </w:t>
      </w:r>
      <w:r w:rsidRPr="00C119F2">
        <w:rPr>
          <w:i/>
          <w:iCs/>
          <w:sz w:val="20"/>
        </w:rPr>
        <w:t>future</w:t>
      </w:r>
      <w:r w:rsidRPr="00C119F2">
        <w:rPr>
          <w:sz w:val="20"/>
        </w:rPr>
        <w:t xml:space="preserve"> reproductive efforts and high parental investment.  Insecure attachment, however, is associated with </w:t>
      </w:r>
      <w:r w:rsidRPr="00C119F2">
        <w:rPr>
          <w:i/>
          <w:iCs/>
          <w:sz w:val="20"/>
        </w:rPr>
        <w:t>current</w:t>
      </w:r>
      <w:r w:rsidRPr="00C119F2">
        <w:rPr>
          <w:sz w:val="20"/>
        </w:rPr>
        <w:t xml:space="preserve"> reproductive efforts.  Consistent with this, Levy and Kelly (2010) found that dismissive avoidant adults were more distressed by thoughts of their partner’s sexual infidelity as opposed to their partner’s emotional infidelity, while secure adults were more distressed by emotional infidelity.  </w:t>
      </w:r>
    </w:p>
    <w:p w:rsidR="00C119F2" w:rsidRPr="00C119F2" w:rsidRDefault="00C119F2" w:rsidP="00C119F2">
      <w:pPr>
        <w:rPr>
          <w:sz w:val="20"/>
        </w:rPr>
      </w:pPr>
      <w:r w:rsidRPr="00C119F2">
        <w:rPr>
          <w:sz w:val="20"/>
        </w:rPr>
        <w:tab/>
        <w:t xml:space="preserve">The present research extends the attachment-mating preference research to the question of short-term and long-term mating preferences.  Using two measures of attachment—a measure of adult romantic attachment and a measure of adult parental attachment—we hypothesized that attachment security/insecurity would explain variability in mating preference beyond that explained by participant sex alone.  </w:t>
      </w:r>
    </w:p>
    <w:p w:rsidR="00E35A32" w:rsidRPr="00100F25" w:rsidRDefault="00E35A32">
      <w:pPr>
        <w:rPr>
          <w:sz w:val="20"/>
        </w:rPr>
      </w:pPr>
    </w:p>
    <w:p w:rsidR="004E1C0D" w:rsidRPr="00615221" w:rsidRDefault="004E1C0D" w:rsidP="004E1C0D">
      <w:pPr>
        <w:jc w:val="center"/>
        <w:rPr>
          <w:b/>
          <w:sz w:val="20"/>
        </w:rPr>
      </w:pPr>
      <w:r w:rsidRPr="00615221">
        <w:rPr>
          <w:b/>
          <w:sz w:val="20"/>
        </w:rPr>
        <w:t>Method</w:t>
      </w:r>
    </w:p>
    <w:p w:rsidR="004E1C0D" w:rsidRPr="00100F25" w:rsidRDefault="004E1C0D">
      <w:pPr>
        <w:rPr>
          <w:sz w:val="20"/>
        </w:rPr>
      </w:pPr>
    </w:p>
    <w:p w:rsidR="00C119F2" w:rsidRDefault="00C119F2" w:rsidP="00C119F2">
      <w:pPr>
        <w:rPr>
          <w:b/>
          <w:bCs/>
          <w:sz w:val="20"/>
        </w:rPr>
      </w:pPr>
      <w:r w:rsidRPr="00C119F2">
        <w:rPr>
          <w:b/>
          <w:bCs/>
          <w:sz w:val="20"/>
        </w:rPr>
        <w:t>Participants and Procedure</w:t>
      </w:r>
    </w:p>
    <w:p w:rsidR="00C119F2" w:rsidRPr="00C119F2" w:rsidRDefault="00C119F2" w:rsidP="00C119F2">
      <w:pPr>
        <w:rPr>
          <w:sz w:val="20"/>
        </w:rPr>
      </w:pPr>
      <w:r w:rsidRPr="00C119F2">
        <w:rPr>
          <w:sz w:val="20"/>
        </w:rPr>
        <w:t> </w:t>
      </w:r>
      <w:r w:rsidRPr="00C119F2">
        <w:rPr>
          <w:sz w:val="20"/>
        </w:rPr>
        <w:tab/>
        <w:t>Data were collected from 138 women and 94 men from a Midwest liberal arts college affiliated with the religiously moderate Evangelical Lutheran Church in America.  Participants received course credit in a psychology course for taking part in the study.</w:t>
      </w:r>
    </w:p>
    <w:p w:rsidR="00C119F2" w:rsidRDefault="00C119F2" w:rsidP="00C119F2">
      <w:pPr>
        <w:rPr>
          <w:sz w:val="20"/>
        </w:rPr>
      </w:pPr>
      <w:r w:rsidRPr="00C119F2">
        <w:rPr>
          <w:sz w:val="20"/>
        </w:rPr>
        <w:t xml:space="preserve">  </w:t>
      </w:r>
      <w:r w:rsidRPr="00C119F2">
        <w:rPr>
          <w:sz w:val="20"/>
        </w:rPr>
        <w:tab/>
        <w:t>Participants completed a number of questionnaires, three of which were relevant for the present study.  Two of these questionnaires were related to attachment and one asked about their personal sexual attitudes.  In order to encourage candor in responses to such a personal topic, we assured participants both verbally and in the informed consent that their responses would be anonymous.  To further assure participants of anonymity, participants were instructed to place their completed packets in a large box with a slit in the top to prevent researchers from being able to identify which packet belonged to any given participant.</w:t>
      </w:r>
    </w:p>
    <w:p w:rsidR="00C119F2" w:rsidRPr="00C119F2" w:rsidRDefault="00C119F2" w:rsidP="00C119F2">
      <w:pPr>
        <w:rPr>
          <w:sz w:val="20"/>
        </w:rPr>
      </w:pPr>
    </w:p>
    <w:p w:rsidR="00C119F2" w:rsidRDefault="00C119F2" w:rsidP="00C119F2">
      <w:pPr>
        <w:rPr>
          <w:b/>
          <w:bCs/>
          <w:sz w:val="20"/>
        </w:rPr>
      </w:pPr>
      <w:r w:rsidRPr="00C119F2">
        <w:rPr>
          <w:b/>
          <w:bCs/>
          <w:sz w:val="20"/>
        </w:rPr>
        <w:t>Materials</w:t>
      </w:r>
    </w:p>
    <w:p w:rsidR="00C119F2" w:rsidRPr="00C119F2" w:rsidRDefault="00C119F2" w:rsidP="00C119F2">
      <w:pPr>
        <w:rPr>
          <w:sz w:val="20"/>
        </w:rPr>
      </w:pPr>
      <w:r w:rsidRPr="00C119F2">
        <w:rPr>
          <w:sz w:val="20"/>
        </w:rPr>
        <w:tab/>
        <w:t>The first questionnaire participants completed was a measure of adult romantic attachment, the Experiences in Close Relationships—Revised (ECR-R; Fraley, Waller, &amp; Brennan, 2000).  The two subscales of the ECR-R, anxiety and attachment, each contain 18 items and are responded to on a 1 (</w:t>
      </w:r>
      <w:r w:rsidRPr="00C119F2">
        <w:rPr>
          <w:i/>
          <w:iCs/>
          <w:sz w:val="20"/>
        </w:rPr>
        <w:t>strongly disagree</w:t>
      </w:r>
      <w:r w:rsidRPr="00C119F2">
        <w:rPr>
          <w:sz w:val="20"/>
        </w:rPr>
        <w:t>) to 7 (</w:t>
      </w:r>
      <w:r w:rsidRPr="00C119F2">
        <w:rPr>
          <w:i/>
          <w:iCs/>
          <w:sz w:val="20"/>
        </w:rPr>
        <w:t>strongly agree</w:t>
      </w:r>
      <w:r w:rsidRPr="00C119F2">
        <w:rPr>
          <w:sz w:val="20"/>
        </w:rPr>
        <w:t>) scale.  The items on the anxiety subscale (e.g., “I worry a lot about my relationships”) had an internal consistency reliability in this study of .91, while the avoidance subscale items (e.g., “I prefer not to show a partner how I feel deep down”) had a reliability of .93.</w:t>
      </w:r>
    </w:p>
    <w:p w:rsidR="00C119F2" w:rsidRPr="00C119F2" w:rsidRDefault="00C119F2" w:rsidP="00C119F2">
      <w:pPr>
        <w:rPr>
          <w:sz w:val="20"/>
        </w:rPr>
      </w:pPr>
      <w:r w:rsidRPr="00C119F2">
        <w:rPr>
          <w:sz w:val="20"/>
        </w:rPr>
        <w:tab/>
        <w:t>The second questionnaire was the 55-item Parental Attachment Questionnaire (PAQ; Kenny, 1987).  The PAQ, which is designed to assess adults’ views of attachment with their parents, has three subscales, the questions of which are asked about each parent.  The first subscale, affective quality of relationship (e.g., “In general, my mother/father is someone I can count on to listen to me when I feel upset”) had internal consistency reliabilities for mother/ father of .92 and .94, respectively.  The second subscale, parents as facilitators of independence (e.g., “In general, my mother/father respect my decisions, even if they don’t agree”) had internal consistency reliabilities for mother/father versions of .88 and .85, respectively. The final PAQ subscale, parents as a source</w:t>
      </w:r>
      <w:r w:rsidR="00506D77">
        <w:rPr>
          <w:sz w:val="20"/>
        </w:rPr>
        <w:t xml:space="preserve"> </w:t>
      </w:r>
      <w:r w:rsidRPr="00C119F2">
        <w:rPr>
          <w:sz w:val="20"/>
        </w:rPr>
        <w:t xml:space="preserve">of social support (e.g., “During time spent together, my mother/father was someone to whom I told my most personal thoughts and feelings”) had internal consistency reliability for mother/father versions of .80 and .84, respectively.  </w:t>
      </w:r>
    </w:p>
    <w:p w:rsidR="00C119F2" w:rsidRPr="00C119F2" w:rsidRDefault="00C119F2" w:rsidP="00C119F2">
      <w:pPr>
        <w:rPr>
          <w:sz w:val="20"/>
        </w:rPr>
      </w:pPr>
      <w:r w:rsidRPr="00C119F2">
        <w:rPr>
          <w:sz w:val="20"/>
        </w:rPr>
        <w:tab/>
        <w:t>Finally, participants were asked a series of questions based on the research presented by Buss and Schmitt (1993).  Among these questions were a pair of items asking participants the degree to which they were seeking a short-term mate, defined as a 1-night stand (on a 1 (not at all currently seeking) to 7 (strongly currently seeking) scale) and the degree to which they were seeking a long-term mate, defined as a marriage partner (on the same 1-7 scale).</w:t>
      </w:r>
    </w:p>
    <w:p w:rsidR="00A92F54" w:rsidRPr="00100F25" w:rsidRDefault="00A92F54">
      <w:pPr>
        <w:rPr>
          <w:sz w:val="20"/>
        </w:rPr>
      </w:pPr>
    </w:p>
    <w:p w:rsidR="00C23933" w:rsidRPr="00010586" w:rsidRDefault="00952CCB" w:rsidP="00952CCB">
      <w:pPr>
        <w:jc w:val="center"/>
        <w:rPr>
          <w:b/>
          <w:sz w:val="20"/>
        </w:rPr>
      </w:pPr>
      <w:r w:rsidRPr="00010586">
        <w:rPr>
          <w:b/>
          <w:sz w:val="20"/>
        </w:rPr>
        <w:t>Results</w:t>
      </w:r>
    </w:p>
    <w:p w:rsidR="00952CCB" w:rsidRPr="00100F25" w:rsidRDefault="00952CCB">
      <w:pPr>
        <w:rPr>
          <w:sz w:val="20"/>
        </w:rPr>
      </w:pPr>
    </w:p>
    <w:p w:rsidR="00615221" w:rsidRDefault="005A7F52" w:rsidP="00615221">
      <w:pPr>
        <w:rPr>
          <w:b/>
          <w:bCs/>
          <w:sz w:val="20"/>
        </w:rPr>
      </w:pPr>
      <w:r w:rsidRPr="00100F25">
        <w:rPr>
          <w:sz w:val="20"/>
        </w:rPr>
        <w:fldChar w:fldCharType="begin"/>
      </w:r>
      <w:r w:rsidR="00E35A32" w:rsidRPr="00100F25">
        <w:rPr>
          <w:sz w:val="20"/>
        </w:rPr>
        <w:instrText xml:space="preserve"> EQ </w:instrText>
      </w:r>
      <w:r w:rsidRPr="00100F25">
        <w:rPr>
          <w:sz w:val="20"/>
        </w:rPr>
        <w:fldChar w:fldCharType="end"/>
      </w:r>
      <w:r w:rsidR="00615221" w:rsidRPr="00615221">
        <w:rPr>
          <w:b/>
          <w:bCs/>
          <w:sz w:val="20"/>
        </w:rPr>
        <w:t>Sex Differences</w:t>
      </w:r>
    </w:p>
    <w:p w:rsidR="00615221" w:rsidRPr="00615221" w:rsidRDefault="00615221" w:rsidP="00615221">
      <w:pPr>
        <w:rPr>
          <w:sz w:val="20"/>
        </w:rPr>
      </w:pPr>
      <w:r w:rsidRPr="00615221">
        <w:rPr>
          <w:sz w:val="20"/>
        </w:rPr>
        <w:tab/>
        <w:t xml:space="preserve">Consistent with Buss and Schmitt (1993), men were more likely than women to indicate that they were seeking a short-term mate (2.8 vs. 1.7 on a 1-7 scale; </w:t>
      </w:r>
      <w:proofErr w:type="gramStart"/>
      <w:r w:rsidRPr="00615221">
        <w:rPr>
          <w:i/>
          <w:iCs/>
          <w:sz w:val="20"/>
        </w:rPr>
        <w:t>t</w:t>
      </w:r>
      <w:r w:rsidRPr="00615221">
        <w:rPr>
          <w:sz w:val="20"/>
        </w:rPr>
        <w:t>(</w:t>
      </w:r>
      <w:proofErr w:type="gramEnd"/>
      <w:r w:rsidRPr="00615221">
        <w:rPr>
          <w:sz w:val="20"/>
        </w:rPr>
        <w:t xml:space="preserve">230) = 5.36, </w:t>
      </w:r>
      <w:r w:rsidRPr="00615221">
        <w:rPr>
          <w:i/>
          <w:iCs/>
          <w:sz w:val="20"/>
        </w:rPr>
        <w:t>p</w:t>
      </w:r>
      <w:r w:rsidRPr="00615221">
        <w:rPr>
          <w:sz w:val="20"/>
        </w:rPr>
        <w:t xml:space="preserve"> &lt; .001).  Also consistent with Buss and Schmitt, we found no significant sex differences on long-term mate seeking (4.6 vs. 4.8; </w:t>
      </w:r>
      <w:proofErr w:type="gramStart"/>
      <w:r w:rsidRPr="00615221">
        <w:rPr>
          <w:i/>
          <w:iCs/>
          <w:sz w:val="20"/>
        </w:rPr>
        <w:t>t</w:t>
      </w:r>
      <w:r w:rsidRPr="00615221">
        <w:rPr>
          <w:sz w:val="20"/>
        </w:rPr>
        <w:t>(</w:t>
      </w:r>
      <w:proofErr w:type="gramEnd"/>
      <w:r w:rsidRPr="00615221">
        <w:rPr>
          <w:sz w:val="20"/>
        </w:rPr>
        <w:t xml:space="preserve">230) = 1.08, </w:t>
      </w:r>
      <w:r w:rsidRPr="00615221">
        <w:rPr>
          <w:i/>
          <w:iCs/>
          <w:sz w:val="20"/>
        </w:rPr>
        <w:t>p</w:t>
      </w:r>
      <w:r w:rsidRPr="00615221">
        <w:rPr>
          <w:sz w:val="20"/>
        </w:rPr>
        <w:t xml:space="preserve"> = .28).  Independent samples </w:t>
      </w:r>
      <w:r w:rsidRPr="00615221">
        <w:rPr>
          <w:i/>
          <w:iCs/>
          <w:sz w:val="20"/>
        </w:rPr>
        <w:t>t</w:t>
      </w:r>
      <w:r w:rsidRPr="00615221">
        <w:rPr>
          <w:sz w:val="20"/>
        </w:rPr>
        <w:t xml:space="preserve">-tests revealed that there were no sex differences on any of the ECR-R or PAQ subscales (all </w:t>
      </w:r>
      <w:r w:rsidRPr="00615221">
        <w:rPr>
          <w:i/>
          <w:iCs/>
          <w:sz w:val="20"/>
        </w:rPr>
        <w:t>p</w:t>
      </w:r>
      <w:r w:rsidRPr="00615221">
        <w:rPr>
          <w:sz w:val="20"/>
        </w:rPr>
        <w:t>’s &gt; .15).</w:t>
      </w:r>
    </w:p>
    <w:p w:rsidR="00615221" w:rsidRDefault="00615221" w:rsidP="00615221">
      <w:pPr>
        <w:rPr>
          <w:sz w:val="20"/>
        </w:rPr>
      </w:pPr>
      <w:r w:rsidRPr="00615221">
        <w:rPr>
          <w:sz w:val="20"/>
        </w:rPr>
        <w:t> </w:t>
      </w:r>
    </w:p>
    <w:p w:rsidR="00615221" w:rsidRPr="00615221" w:rsidRDefault="00615221" w:rsidP="00615221">
      <w:pPr>
        <w:rPr>
          <w:sz w:val="20"/>
        </w:rPr>
      </w:pPr>
      <w:r w:rsidRPr="00615221">
        <w:rPr>
          <w:b/>
          <w:bCs/>
          <w:sz w:val="20"/>
        </w:rPr>
        <w:t>Correlational Analyses</w:t>
      </w:r>
    </w:p>
    <w:p w:rsidR="00615221" w:rsidRPr="00615221" w:rsidRDefault="00615221" w:rsidP="00615221">
      <w:pPr>
        <w:rPr>
          <w:sz w:val="20"/>
        </w:rPr>
      </w:pPr>
      <w:r w:rsidRPr="00615221">
        <w:rPr>
          <w:sz w:val="20"/>
        </w:rPr>
        <w:t> </w:t>
      </w:r>
      <w:r w:rsidRPr="00615221">
        <w:rPr>
          <w:sz w:val="20"/>
        </w:rPr>
        <w:tab/>
        <w:t>Table 1 presents correlations between each of the attachment subscales and short-term and long-term mate seeking for males and females.  ECR-R attachment and avoidance were both positively correlated with short-term mate seeking in male participants (</w:t>
      </w:r>
      <w:proofErr w:type="gramStart"/>
      <w:r w:rsidRPr="00615221">
        <w:rPr>
          <w:i/>
          <w:iCs/>
          <w:sz w:val="20"/>
        </w:rPr>
        <w:t>r</w:t>
      </w:r>
      <w:r w:rsidRPr="00615221">
        <w:rPr>
          <w:sz w:val="20"/>
        </w:rPr>
        <w:t>(</w:t>
      </w:r>
      <w:proofErr w:type="gramEnd"/>
      <w:r w:rsidRPr="00615221">
        <w:rPr>
          <w:sz w:val="20"/>
        </w:rPr>
        <w:t xml:space="preserve">92) = .36, </w:t>
      </w:r>
      <w:r w:rsidRPr="00615221">
        <w:rPr>
          <w:i/>
          <w:iCs/>
          <w:sz w:val="20"/>
        </w:rPr>
        <w:t>p</w:t>
      </w:r>
      <w:r w:rsidRPr="00615221">
        <w:rPr>
          <w:sz w:val="20"/>
        </w:rPr>
        <w:t xml:space="preserve"> &lt; .001 and (</w:t>
      </w:r>
      <w:r w:rsidRPr="00615221">
        <w:rPr>
          <w:i/>
          <w:iCs/>
          <w:sz w:val="20"/>
        </w:rPr>
        <w:t>r</w:t>
      </w:r>
      <w:r w:rsidRPr="00615221">
        <w:rPr>
          <w:sz w:val="20"/>
        </w:rPr>
        <w:t xml:space="preserve">(92) = .39, </w:t>
      </w:r>
      <w:r w:rsidRPr="00615221">
        <w:rPr>
          <w:i/>
          <w:iCs/>
          <w:sz w:val="20"/>
        </w:rPr>
        <w:t>p</w:t>
      </w:r>
      <w:r w:rsidRPr="00615221">
        <w:rPr>
          <w:sz w:val="20"/>
        </w:rPr>
        <w:t xml:space="preserve"> &lt; .001, respectively).  Affective quality of attachment to the mother was negatively related to short-term mate interest for males (</w:t>
      </w:r>
      <w:proofErr w:type="gramStart"/>
      <w:r w:rsidRPr="00615221">
        <w:rPr>
          <w:i/>
          <w:iCs/>
          <w:sz w:val="20"/>
        </w:rPr>
        <w:t>r</w:t>
      </w:r>
      <w:r w:rsidRPr="00615221">
        <w:rPr>
          <w:sz w:val="20"/>
        </w:rPr>
        <w:t>(</w:t>
      </w:r>
      <w:proofErr w:type="gramEnd"/>
      <w:r w:rsidRPr="00615221">
        <w:rPr>
          <w:sz w:val="20"/>
        </w:rPr>
        <w:t xml:space="preserve">92) = -.36, </w:t>
      </w:r>
      <w:r w:rsidRPr="00615221">
        <w:rPr>
          <w:i/>
          <w:iCs/>
          <w:sz w:val="20"/>
        </w:rPr>
        <w:t>p</w:t>
      </w:r>
      <w:r w:rsidRPr="00615221">
        <w:rPr>
          <w:sz w:val="20"/>
        </w:rPr>
        <w:t xml:space="preserve"> &lt; .001), as was mother as facilitator of independence (</w:t>
      </w:r>
      <w:r w:rsidRPr="00615221">
        <w:rPr>
          <w:i/>
          <w:iCs/>
          <w:sz w:val="20"/>
        </w:rPr>
        <w:t>r</w:t>
      </w:r>
      <w:r w:rsidRPr="00615221">
        <w:rPr>
          <w:sz w:val="20"/>
        </w:rPr>
        <w:t xml:space="preserve">(91) = -.31, </w:t>
      </w:r>
      <w:r w:rsidRPr="00615221">
        <w:rPr>
          <w:i/>
          <w:iCs/>
          <w:sz w:val="20"/>
        </w:rPr>
        <w:t>p</w:t>
      </w:r>
      <w:r w:rsidRPr="00615221">
        <w:rPr>
          <w:sz w:val="20"/>
        </w:rPr>
        <w:t xml:space="preserve"> = .002).  Additionally, two subscales approached traditional levels of significance for male subjects:  affective quality of attachment to the father was negatively correlated with short-term mating interest (</w:t>
      </w:r>
      <w:proofErr w:type="gramStart"/>
      <w:r w:rsidRPr="00615221">
        <w:rPr>
          <w:i/>
          <w:iCs/>
          <w:sz w:val="20"/>
        </w:rPr>
        <w:t>r</w:t>
      </w:r>
      <w:r w:rsidRPr="00615221">
        <w:rPr>
          <w:sz w:val="20"/>
        </w:rPr>
        <w:t>(</w:t>
      </w:r>
      <w:proofErr w:type="gramEnd"/>
      <w:r w:rsidRPr="00615221">
        <w:rPr>
          <w:sz w:val="20"/>
        </w:rPr>
        <w:t xml:space="preserve">88) = -.20, </w:t>
      </w:r>
      <w:r w:rsidRPr="00615221">
        <w:rPr>
          <w:i/>
          <w:iCs/>
          <w:sz w:val="20"/>
        </w:rPr>
        <w:t>p</w:t>
      </w:r>
      <w:r w:rsidRPr="00615221">
        <w:rPr>
          <w:sz w:val="20"/>
        </w:rPr>
        <w:t xml:space="preserve"> = .055), as was father as a facilitator of independence (</w:t>
      </w:r>
      <w:r w:rsidRPr="00615221">
        <w:rPr>
          <w:i/>
          <w:iCs/>
          <w:sz w:val="20"/>
        </w:rPr>
        <w:t>r</w:t>
      </w:r>
      <w:r w:rsidRPr="00615221">
        <w:rPr>
          <w:sz w:val="20"/>
        </w:rPr>
        <w:t xml:space="preserve">(90) = -.20, </w:t>
      </w:r>
      <w:r w:rsidRPr="00615221">
        <w:rPr>
          <w:i/>
          <w:iCs/>
          <w:sz w:val="20"/>
        </w:rPr>
        <w:t>p</w:t>
      </w:r>
      <w:r w:rsidRPr="00615221">
        <w:rPr>
          <w:sz w:val="20"/>
        </w:rPr>
        <w:t xml:space="preserve"> = .055).</w:t>
      </w:r>
    </w:p>
    <w:p w:rsidR="00615221" w:rsidRPr="00615221" w:rsidRDefault="00615221" w:rsidP="00615221">
      <w:pPr>
        <w:rPr>
          <w:sz w:val="20"/>
        </w:rPr>
      </w:pPr>
      <w:r w:rsidRPr="00615221">
        <w:rPr>
          <w:sz w:val="20"/>
        </w:rPr>
        <w:tab/>
        <w:t>By contrast, only two attachment subscales, both from the PAQ, were related to short-term mating interest for female participants:  affective quality of attachment to mother and mother as a facilitator of independence were both negatively correlated with short-term mating interest (</w:t>
      </w:r>
      <w:r w:rsidRPr="00615221">
        <w:rPr>
          <w:i/>
          <w:iCs/>
          <w:sz w:val="20"/>
        </w:rPr>
        <w:t>r</w:t>
      </w:r>
      <w:r w:rsidRPr="00615221">
        <w:rPr>
          <w:sz w:val="20"/>
        </w:rPr>
        <w:t xml:space="preserve">(133) = -.19, </w:t>
      </w:r>
      <w:r w:rsidRPr="00615221">
        <w:rPr>
          <w:i/>
          <w:iCs/>
          <w:sz w:val="20"/>
        </w:rPr>
        <w:t>p</w:t>
      </w:r>
      <w:r w:rsidRPr="00615221">
        <w:rPr>
          <w:sz w:val="20"/>
        </w:rPr>
        <w:t xml:space="preserve"> = .027 and </w:t>
      </w:r>
      <w:r w:rsidRPr="00615221">
        <w:rPr>
          <w:i/>
          <w:iCs/>
          <w:sz w:val="20"/>
        </w:rPr>
        <w:t>r</w:t>
      </w:r>
      <w:r w:rsidRPr="00615221">
        <w:rPr>
          <w:sz w:val="20"/>
        </w:rPr>
        <w:t xml:space="preserve">(133) = -.21, </w:t>
      </w:r>
      <w:r w:rsidRPr="00615221">
        <w:rPr>
          <w:i/>
          <w:iCs/>
          <w:sz w:val="20"/>
        </w:rPr>
        <w:t>p</w:t>
      </w:r>
      <w:r w:rsidRPr="00615221">
        <w:rPr>
          <w:sz w:val="20"/>
        </w:rPr>
        <w:t xml:space="preserve"> = .014, respectively).  </w:t>
      </w:r>
    </w:p>
    <w:p w:rsidR="00615221" w:rsidRDefault="00615221" w:rsidP="00615221">
      <w:pPr>
        <w:rPr>
          <w:sz w:val="20"/>
        </w:rPr>
      </w:pPr>
      <w:r w:rsidRPr="00615221">
        <w:rPr>
          <w:sz w:val="20"/>
        </w:rPr>
        <w:tab/>
        <w:t xml:space="preserve">As indicated in Table 1, none of the attachment scales were significantly correlated with long-term mate seeking for male or female subjects (all </w:t>
      </w:r>
      <w:r w:rsidRPr="00615221">
        <w:rPr>
          <w:i/>
          <w:iCs/>
          <w:sz w:val="20"/>
        </w:rPr>
        <w:t>p</w:t>
      </w:r>
      <w:r w:rsidRPr="00615221">
        <w:rPr>
          <w:sz w:val="20"/>
        </w:rPr>
        <w:t>’s &gt; .10).</w:t>
      </w:r>
    </w:p>
    <w:p w:rsidR="00615221" w:rsidRPr="00615221" w:rsidRDefault="00615221" w:rsidP="00615221">
      <w:pPr>
        <w:rPr>
          <w:sz w:val="20"/>
        </w:rPr>
      </w:pPr>
    </w:p>
    <w:p w:rsidR="00615221" w:rsidRPr="00615221" w:rsidRDefault="00615221" w:rsidP="00615221">
      <w:pPr>
        <w:rPr>
          <w:sz w:val="20"/>
        </w:rPr>
      </w:pPr>
      <w:r w:rsidRPr="00615221">
        <w:rPr>
          <w:b/>
          <w:bCs/>
          <w:sz w:val="20"/>
        </w:rPr>
        <w:t>Regression Analyses</w:t>
      </w:r>
    </w:p>
    <w:p w:rsidR="00615221" w:rsidRPr="00615221" w:rsidRDefault="00615221" w:rsidP="00615221">
      <w:pPr>
        <w:rPr>
          <w:sz w:val="20"/>
        </w:rPr>
      </w:pPr>
      <w:r w:rsidRPr="00615221">
        <w:rPr>
          <w:sz w:val="20"/>
        </w:rPr>
        <w:t> </w:t>
      </w:r>
      <w:r w:rsidRPr="00615221">
        <w:rPr>
          <w:sz w:val="20"/>
        </w:rPr>
        <w:tab/>
        <w:t xml:space="preserve">We performed four multiple regression analyses to examine the unique effects of sex and attachment subscales on short-term mate seeking.  Each of these regression analyses was statistically significant (see Table 2 for the multiple R and </w:t>
      </w:r>
      <w:r w:rsidRPr="00615221">
        <w:rPr>
          <w:i/>
          <w:iCs/>
          <w:sz w:val="20"/>
        </w:rPr>
        <w:t>F</w:t>
      </w:r>
      <w:r w:rsidRPr="00615221">
        <w:rPr>
          <w:sz w:val="20"/>
        </w:rPr>
        <w:t xml:space="preserve"> statistics).  Of particular relevance for this study, controlling for sex of participant, adult attachment avoidance explained statistically significant unique variance in short-term mate seeking (β = .18), and attachment anxiety explained variance (β = .12) that approached traditional levels of significance.  Also of interest is that affective quality of attachment to mother and mother as a facilitator of social support both explained unique variance in short-term mate seeking, (β = -.26 and β = -.22, respectively), while affective quality of attachment to father and father as a facilitator of social support did not explain unique variability.</w:t>
      </w:r>
    </w:p>
    <w:p w:rsidR="009E2CE1" w:rsidRPr="00100F25" w:rsidRDefault="009E2CE1" w:rsidP="00615221">
      <w:pPr>
        <w:rPr>
          <w:sz w:val="20"/>
        </w:rPr>
      </w:pPr>
    </w:p>
    <w:p w:rsidR="000A5976" w:rsidRPr="00010586" w:rsidRDefault="000A5976" w:rsidP="000A5976">
      <w:pPr>
        <w:jc w:val="center"/>
        <w:rPr>
          <w:b/>
          <w:sz w:val="20"/>
        </w:rPr>
      </w:pPr>
      <w:r w:rsidRPr="00010586">
        <w:rPr>
          <w:b/>
          <w:sz w:val="20"/>
        </w:rPr>
        <w:t>Discussion</w:t>
      </w:r>
    </w:p>
    <w:p w:rsidR="000A5976" w:rsidRPr="00100F25" w:rsidRDefault="000A5976" w:rsidP="009E2CE1">
      <w:pPr>
        <w:rPr>
          <w:sz w:val="20"/>
        </w:rPr>
      </w:pPr>
    </w:p>
    <w:p w:rsidR="006122AE" w:rsidRPr="006122AE" w:rsidRDefault="006122AE" w:rsidP="00073638">
      <w:pPr>
        <w:ind w:firstLine="720"/>
        <w:rPr>
          <w:sz w:val="20"/>
        </w:rPr>
      </w:pPr>
      <w:bookmarkStart w:id="0" w:name="_GoBack"/>
      <w:bookmarkEnd w:id="0"/>
      <w:r w:rsidRPr="006122AE">
        <w:rPr>
          <w:sz w:val="20"/>
        </w:rPr>
        <w:t>The sex differences in short-term mate seeking we found were consistent with those reported by Buss and Schmitt (1993):  men were more likely than women to be seeking a short-term mate.  There was not a significant difference between men and women in their long-term mate seeking, and none of the attachment subscales were related to long-term mate seeking.</w:t>
      </w:r>
    </w:p>
    <w:p w:rsidR="00AC1D3D" w:rsidRDefault="006122AE" w:rsidP="00AC1D3D">
      <w:pPr>
        <w:rPr>
          <w:rFonts w:eastAsiaTheme="minorEastAsia" w:cstheme="minorBidi"/>
          <w:i/>
          <w:color w:val="000000" w:themeColor="text1"/>
          <w:kern w:val="24"/>
          <w:sz w:val="64"/>
          <w:szCs w:val="64"/>
        </w:rPr>
      </w:pPr>
      <w:r w:rsidRPr="006122AE">
        <w:rPr>
          <w:sz w:val="20"/>
        </w:rPr>
        <w:tab/>
        <w:t>Several of the attachment subscales were related to short-term mate seeking, however, and two general results stand out.  First, romantic attachment anxiety and avoidance were both positively correlated with short-term mate seeking in males, but those relationships were not significant for female participants.  Second, two PAQ subscales were reliably and negatively associated with short-term mate seeking:  affective quality of attachment and parent as facilitator of independence. For both of these subscales, however, it was only attachment with the mother that was predictive of short-term mate seeking; attachment with the father was not significantly related to this outcome (though both scales approached significance for males).</w:t>
      </w:r>
      <w:r w:rsidR="00AC1D3D" w:rsidRPr="00AC1D3D">
        <w:rPr>
          <w:rFonts w:eastAsiaTheme="minorEastAsia" w:cstheme="minorBidi"/>
          <w:i/>
          <w:color w:val="000000" w:themeColor="text1"/>
          <w:kern w:val="24"/>
          <w:sz w:val="64"/>
          <w:szCs w:val="64"/>
        </w:rPr>
        <w:t xml:space="preserve"> </w:t>
      </w:r>
    </w:p>
    <w:p w:rsidR="00AC1D3D" w:rsidRPr="00AC1D3D" w:rsidRDefault="00AC1D3D" w:rsidP="00AC1D3D">
      <w:pPr>
        <w:ind w:firstLine="720"/>
        <w:rPr>
          <w:sz w:val="20"/>
        </w:rPr>
      </w:pPr>
      <w:r w:rsidRPr="00AC1D3D">
        <w:rPr>
          <w:sz w:val="20"/>
        </w:rPr>
        <w:t xml:space="preserve">Finally, consistent with our hypothesis, attachment explained significant variability in short-term mate seeking beyond that explained by sex.  This was the case for adult avoidance attachment, (with anxious attachment also approaching the traditional level of significance), affective quality of attachment with the mother, and mother as a facilitator of independence.  </w:t>
      </w:r>
    </w:p>
    <w:p w:rsidR="00AC1D3D" w:rsidRPr="00AC1D3D" w:rsidRDefault="00AC1D3D" w:rsidP="00AC1D3D">
      <w:pPr>
        <w:rPr>
          <w:sz w:val="20"/>
        </w:rPr>
      </w:pPr>
      <w:r w:rsidRPr="00AC1D3D">
        <w:rPr>
          <w:sz w:val="20"/>
        </w:rPr>
        <w:tab/>
        <w:t xml:space="preserve">Overall, our results suggest support for Del </w:t>
      </w:r>
      <w:proofErr w:type="spellStart"/>
      <w:r w:rsidRPr="00AC1D3D">
        <w:rPr>
          <w:sz w:val="20"/>
        </w:rPr>
        <w:t>Giudice’s</w:t>
      </w:r>
      <w:proofErr w:type="spellEnd"/>
      <w:r w:rsidRPr="00AC1D3D">
        <w:rPr>
          <w:sz w:val="20"/>
        </w:rPr>
        <w:t xml:space="preserve"> (2009) model of attachment and reproductive strategies.  Evolved sex differences in reproductive strategies as proposed by Buss and Schmitt (1993) are well-documented (see Schmitt, 2003b, for example).  However, while evolved sex differences do explain considerable variability in reproductive strategies, other factors, such as romantic and parental attachment patterns, are useful in explaining differences in reproductive strategies both between and within sex.</w:t>
      </w:r>
    </w:p>
    <w:p w:rsidR="006122AE" w:rsidRDefault="006122AE" w:rsidP="006122AE">
      <w:pPr>
        <w:rPr>
          <w:sz w:val="20"/>
        </w:rPr>
      </w:pPr>
    </w:p>
    <w:p w:rsidR="00E762F1" w:rsidRPr="00E762F1" w:rsidRDefault="00E762F1" w:rsidP="00E762F1">
      <w:pPr>
        <w:jc w:val="center"/>
        <w:rPr>
          <w:sz w:val="20"/>
        </w:rPr>
      </w:pPr>
      <w:r w:rsidRPr="00E762F1">
        <w:rPr>
          <w:b/>
          <w:bCs/>
          <w:sz w:val="20"/>
        </w:rPr>
        <w:t>References</w:t>
      </w:r>
    </w:p>
    <w:p w:rsidR="00A54174" w:rsidRPr="00100F25" w:rsidRDefault="00A54174" w:rsidP="000C38A1">
      <w:pPr>
        <w:rPr>
          <w:sz w:val="20"/>
        </w:rPr>
      </w:pPr>
    </w:p>
    <w:p w:rsidR="006122AE" w:rsidRPr="006122AE" w:rsidRDefault="006122AE" w:rsidP="006122AE">
      <w:pPr>
        <w:rPr>
          <w:sz w:val="20"/>
        </w:rPr>
      </w:pPr>
      <w:proofErr w:type="gramStart"/>
      <w:r w:rsidRPr="006122AE">
        <w:rPr>
          <w:sz w:val="20"/>
        </w:rPr>
        <w:t>Buss, D. M., &amp; Schmitt, D. P. (1993).</w:t>
      </w:r>
      <w:proofErr w:type="gramEnd"/>
      <w:r w:rsidRPr="006122AE">
        <w:rPr>
          <w:sz w:val="20"/>
        </w:rPr>
        <w:t xml:space="preserve">  Sexual strategies theory:  An evolutionary perspective on human mating.  </w:t>
      </w:r>
    </w:p>
    <w:p w:rsidR="006122AE" w:rsidRDefault="006122AE" w:rsidP="006122AE">
      <w:pPr>
        <w:rPr>
          <w:sz w:val="20"/>
        </w:rPr>
      </w:pPr>
      <w:r w:rsidRPr="006122AE">
        <w:rPr>
          <w:i/>
          <w:iCs/>
          <w:sz w:val="20"/>
        </w:rPr>
        <w:t xml:space="preserve">     Psychological Review, 100</w:t>
      </w:r>
      <w:r w:rsidRPr="006122AE">
        <w:rPr>
          <w:sz w:val="20"/>
        </w:rPr>
        <w:t>, 204-232.</w:t>
      </w:r>
    </w:p>
    <w:p w:rsidR="00270695" w:rsidRPr="006122AE" w:rsidRDefault="00270695" w:rsidP="006122AE">
      <w:pPr>
        <w:rPr>
          <w:sz w:val="20"/>
        </w:rPr>
      </w:pPr>
    </w:p>
    <w:p w:rsidR="006122AE" w:rsidRPr="006122AE" w:rsidRDefault="006122AE" w:rsidP="006122AE">
      <w:pPr>
        <w:rPr>
          <w:sz w:val="20"/>
        </w:rPr>
      </w:pPr>
      <w:r w:rsidRPr="006122AE">
        <w:rPr>
          <w:sz w:val="20"/>
        </w:rPr>
        <w:t xml:space="preserve">Del </w:t>
      </w:r>
      <w:proofErr w:type="spellStart"/>
      <w:r w:rsidRPr="006122AE">
        <w:rPr>
          <w:sz w:val="20"/>
        </w:rPr>
        <w:t>Giudice</w:t>
      </w:r>
      <w:proofErr w:type="spellEnd"/>
      <w:r w:rsidRPr="006122AE">
        <w:rPr>
          <w:sz w:val="20"/>
        </w:rPr>
        <w:t>, M.  (2009)</w:t>
      </w:r>
      <w:proofErr w:type="gramStart"/>
      <w:r w:rsidRPr="006122AE">
        <w:rPr>
          <w:sz w:val="20"/>
        </w:rPr>
        <w:t>.  Sex</w:t>
      </w:r>
      <w:proofErr w:type="gramEnd"/>
      <w:r w:rsidRPr="006122AE">
        <w:rPr>
          <w:sz w:val="20"/>
        </w:rPr>
        <w:t xml:space="preserve">, attachment, and the development of reproductive strategies.  </w:t>
      </w:r>
      <w:r w:rsidRPr="006122AE">
        <w:rPr>
          <w:i/>
          <w:iCs/>
          <w:sz w:val="20"/>
        </w:rPr>
        <w:t xml:space="preserve">Behavioral and Brain </w:t>
      </w:r>
    </w:p>
    <w:p w:rsidR="006122AE" w:rsidRDefault="006122AE" w:rsidP="006122AE">
      <w:pPr>
        <w:rPr>
          <w:sz w:val="20"/>
        </w:rPr>
      </w:pPr>
      <w:r w:rsidRPr="006122AE">
        <w:rPr>
          <w:i/>
          <w:iCs/>
          <w:sz w:val="20"/>
        </w:rPr>
        <w:t xml:space="preserve">     Sciences, 32</w:t>
      </w:r>
      <w:r w:rsidRPr="006122AE">
        <w:rPr>
          <w:sz w:val="20"/>
        </w:rPr>
        <w:t xml:space="preserve">, 1-67.  </w:t>
      </w:r>
    </w:p>
    <w:p w:rsidR="00270695" w:rsidRPr="006122AE" w:rsidRDefault="00270695" w:rsidP="006122AE">
      <w:pPr>
        <w:rPr>
          <w:sz w:val="20"/>
        </w:rPr>
      </w:pPr>
    </w:p>
    <w:p w:rsidR="006122AE" w:rsidRPr="006122AE" w:rsidRDefault="006122AE" w:rsidP="006122AE">
      <w:pPr>
        <w:rPr>
          <w:sz w:val="20"/>
        </w:rPr>
      </w:pPr>
      <w:proofErr w:type="gramStart"/>
      <w:r w:rsidRPr="006122AE">
        <w:rPr>
          <w:sz w:val="20"/>
        </w:rPr>
        <w:t>Fraley, R. C., Waller, N. G., &amp; Brennan, K. A.</w:t>
      </w:r>
      <w:proofErr w:type="gramEnd"/>
      <w:r w:rsidRPr="006122AE">
        <w:rPr>
          <w:sz w:val="20"/>
        </w:rPr>
        <w:t xml:space="preserve">  (2000)</w:t>
      </w:r>
      <w:proofErr w:type="gramStart"/>
      <w:r w:rsidRPr="006122AE">
        <w:rPr>
          <w:sz w:val="20"/>
        </w:rPr>
        <w:t>.  An</w:t>
      </w:r>
      <w:proofErr w:type="gramEnd"/>
      <w:r w:rsidRPr="006122AE">
        <w:rPr>
          <w:sz w:val="20"/>
        </w:rPr>
        <w:t xml:space="preserve"> item response theory analysis of self-report measures of </w:t>
      </w:r>
    </w:p>
    <w:p w:rsidR="006122AE" w:rsidRDefault="006122AE" w:rsidP="006122AE">
      <w:pPr>
        <w:rPr>
          <w:sz w:val="20"/>
        </w:rPr>
      </w:pPr>
      <w:r w:rsidRPr="006122AE">
        <w:rPr>
          <w:sz w:val="20"/>
        </w:rPr>
        <w:t xml:space="preserve">     </w:t>
      </w:r>
      <w:proofErr w:type="gramStart"/>
      <w:r w:rsidRPr="006122AE">
        <w:rPr>
          <w:sz w:val="20"/>
        </w:rPr>
        <w:t>adult</w:t>
      </w:r>
      <w:proofErr w:type="gramEnd"/>
      <w:r w:rsidRPr="006122AE">
        <w:rPr>
          <w:sz w:val="20"/>
        </w:rPr>
        <w:t xml:space="preserve"> attachment.  </w:t>
      </w:r>
      <w:r w:rsidRPr="006122AE">
        <w:rPr>
          <w:i/>
          <w:iCs/>
          <w:sz w:val="20"/>
        </w:rPr>
        <w:t>Journal of Personality and Social Psychology, 78</w:t>
      </w:r>
      <w:r w:rsidRPr="006122AE">
        <w:rPr>
          <w:sz w:val="20"/>
        </w:rPr>
        <w:t>, 350-365.</w:t>
      </w:r>
    </w:p>
    <w:p w:rsidR="00270695" w:rsidRPr="006122AE" w:rsidRDefault="00270695" w:rsidP="006122AE">
      <w:pPr>
        <w:rPr>
          <w:sz w:val="20"/>
        </w:rPr>
      </w:pPr>
    </w:p>
    <w:p w:rsidR="006122AE" w:rsidRPr="006122AE" w:rsidRDefault="006122AE" w:rsidP="006122AE">
      <w:pPr>
        <w:rPr>
          <w:sz w:val="20"/>
        </w:rPr>
      </w:pPr>
      <w:proofErr w:type="gramStart"/>
      <w:r w:rsidRPr="006122AE">
        <w:rPr>
          <w:sz w:val="20"/>
        </w:rPr>
        <w:t>Kenny, M. (1987).</w:t>
      </w:r>
      <w:proofErr w:type="gramEnd"/>
      <w:r w:rsidRPr="006122AE">
        <w:rPr>
          <w:sz w:val="20"/>
        </w:rPr>
        <w:t xml:space="preserve">  </w:t>
      </w:r>
      <w:proofErr w:type="gramStart"/>
      <w:r w:rsidRPr="006122AE">
        <w:rPr>
          <w:sz w:val="20"/>
        </w:rPr>
        <w:t>The extent and function of parental attachment among first-year college students.</w:t>
      </w:r>
      <w:proofErr w:type="gramEnd"/>
      <w:r w:rsidRPr="006122AE">
        <w:rPr>
          <w:sz w:val="20"/>
        </w:rPr>
        <w:t xml:space="preserve">  </w:t>
      </w:r>
      <w:r w:rsidRPr="006122AE">
        <w:rPr>
          <w:i/>
          <w:iCs/>
          <w:sz w:val="20"/>
        </w:rPr>
        <w:t xml:space="preserve">Journal of Youth </w:t>
      </w:r>
    </w:p>
    <w:p w:rsidR="006122AE" w:rsidRDefault="006122AE" w:rsidP="006122AE">
      <w:pPr>
        <w:rPr>
          <w:sz w:val="20"/>
        </w:rPr>
      </w:pPr>
      <w:r w:rsidRPr="006122AE">
        <w:rPr>
          <w:i/>
          <w:iCs/>
          <w:sz w:val="20"/>
        </w:rPr>
        <w:t xml:space="preserve">     </w:t>
      </w:r>
      <w:proofErr w:type="gramStart"/>
      <w:r w:rsidRPr="006122AE">
        <w:rPr>
          <w:i/>
          <w:iCs/>
          <w:sz w:val="20"/>
        </w:rPr>
        <w:t>and</w:t>
      </w:r>
      <w:proofErr w:type="gramEnd"/>
      <w:r w:rsidRPr="006122AE">
        <w:rPr>
          <w:i/>
          <w:iCs/>
          <w:sz w:val="20"/>
        </w:rPr>
        <w:t xml:space="preserve"> Adolescence, 16</w:t>
      </w:r>
      <w:r w:rsidRPr="006122AE">
        <w:rPr>
          <w:sz w:val="20"/>
        </w:rPr>
        <w:t>, 17-29.</w:t>
      </w:r>
    </w:p>
    <w:p w:rsidR="00270695" w:rsidRPr="006122AE" w:rsidRDefault="00270695" w:rsidP="006122AE">
      <w:pPr>
        <w:rPr>
          <w:sz w:val="20"/>
        </w:rPr>
      </w:pPr>
    </w:p>
    <w:p w:rsidR="006122AE" w:rsidRPr="006122AE" w:rsidRDefault="006122AE" w:rsidP="006122AE">
      <w:pPr>
        <w:rPr>
          <w:sz w:val="20"/>
        </w:rPr>
      </w:pPr>
      <w:proofErr w:type="gramStart"/>
      <w:r w:rsidRPr="006122AE">
        <w:rPr>
          <w:sz w:val="20"/>
        </w:rPr>
        <w:t>Levy, K. N., &amp; Kelly, K. M.</w:t>
      </w:r>
      <w:proofErr w:type="gramEnd"/>
      <w:r w:rsidRPr="006122AE">
        <w:rPr>
          <w:sz w:val="20"/>
        </w:rPr>
        <w:t xml:space="preserve">  (2010)</w:t>
      </w:r>
      <w:proofErr w:type="gramStart"/>
      <w:r w:rsidRPr="006122AE">
        <w:rPr>
          <w:sz w:val="20"/>
        </w:rPr>
        <w:t>.  Sex</w:t>
      </w:r>
      <w:proofErr w:type="gramEnd"/>
      <w:r w:rsidRPr="006122AE">
        <w:rPr>
          <w:sz w:val="20"/>
        </w:rPr>
        <w:t xml:space="preserve"> differences in jealousy:  A contribution from attachment theory. </w:t>
      </w:r>
      <w:r w:rsidRPr="006122AE">
        <w:rPr>
          <w:i/>
          <w:iCs/>
          <w:sz w:val="20"/>
        </w:rPr>
        <w:t xml:space="preserve">Psychological </w:t>
      </w:r>
    </w:p>
    <w:p w:rsidR="006122AE" w:rsidRDefault="006122AE" w:rsidP="006122AE">
      <w:pPr>
        <w:rPr>
          <w:sz w:val="20"/>
        </w:rPr>
      </w:pPr>
      <w:r w:rsidRPr="006122AE">
        <w:rPr>
          <w:i/>
          <w:iCs/>
          <w:sz w:val="20"/>
        </w:rPr>
        <w:t xml:space="preserve">     Science, 21</w:t>
      </w:r>
      <w:r w:rsidRPr="006122AE">
        <w:rPr>
          <w:sz w:val="20"/>
        </w:rPr>
        <w:t xml:space="preserve">, 168-173.  </w:t>
      </w:r>
    </w:p>
    <w:p w:rsidR="00270695" w:rsidRPr="006122AE" w:rsidRDefault="00270695" w:rsidP="006122AE">
      <w:pPr>
        <w:rPr>
          <w:sz w:val="20"/>
        </w:rPr>
      </w:pPr>
    </w:p>
    <w:p w:rsidR="006122AE" w:rsidRPr="006122AE" w:rsidRDefault="006122AE" w:rsidP="006122AE">
      <w:pPr>
        <w:rPr>
          <w:sz w:val="20"/>
        </w:rPr>
      </w:pPr>
      <w:proofErr w:type="gramStart"/>
      <w:r w:rsidRPr="006122AE">
        <w:rPr>
          <w:sz w:val="20"/>
        </w:rPr>
        <w:t>Schmitt, D.P, &amp; International Sexuality Description Project.</w:t>
      </w:r>
      <w:proofErr w:type="gramEnd"/>
      <w:r w:rsidRPr="006122AE">
        <w:rPr>
          <w:sz w:val="20"/>
        </w:rPr>
        <w:t xml:space="preserve">  (2003a)</w:t>
      </w:r>
      <w:proofErr w:type="gramStart"/>
      <w:r w:rsidRPr="006122AE">
        <w:rPr>
          <w:sz w:val="20"/>
        </w:rPr>
        <w:t>.  Are</w:t>
      </w:r>
      <w:proofErr w:type="gramEnd"/>
      <w:r w:rsidRPr="006122AE">
        <w:rPr>
          <w:sz w:val="20"/>
        </w:rPr>
        <w:t xml:space="preserve"> men universally more dismissing than women?  </w:t>
      </w:r>
    </w:p>
    <w:p w:rsidR="006122AE" w:rsidRDefault="006122AE" w:rsidP="006122AE">
      <w:pPr>
        <w:rPr>
          <w:sz w:val="20"/>
        </w:rPr>
      </w:pPr>
      <w:r w:rsidRPr="006122AE">
        <w:rPr>
          <w:sz w:val="20"/>
        </w:rPr>
        <w:t xml:space="preserve">     </w:t>
      </w:r>
      <w:proofErr w:type="gramStart"/>
      <w:r w:rsidRPr="006122AE">
        <w:rPr>
          <w:sz w:val="20"/>
        </w:rPr>
        <w:t>Gender differences in romantic attachment across 62 cultural regions.</w:t>
      </w:r>
      <w:proofErr w:type="gramEnd"/>
      <w:r w:rsidRPr="006122AE">
        <w:rPr>
          <w:sz w:val="20"/>
        </w:rPr>
        <w:t xml:space="preserve">  </w:t>
      </w:r>
      <w:r w:rsidRPr="006122AE">
        <w:rPr>
          <w:i/>
          <w:iCs/>
          <w:sz w:val="20"/>
        </w:rPr>
        <w:t>Personal Relationships, 10</w:t>
      </w:r>
      <w:r w:rsidRPr="006122AE">
        <w:rPr>
          <w:sz w:val="20"/>
        </w:rPr>
        <w:t xml:space="preserve">, 307-331.  </w:t>
      </w:r>
    </w:p>
    <w:p w:rsidR="00270695" w:rsidRPr="006122AE" w:rsidRDefault="00270695" w:rsidP="006122AE">
      <w:pPr>
        <w:rPr>
          <w:sz w:val="20"/>
        </w:rPr>
      </w:pPr>
    </w:p>
    <w:p w:rsidR="006122AE" w:rsidRPr="006122AE" w:rsidRDefault="006122AE" w:rsidP="006122AE">
      <w:pPr>
        <w:rPr>
          <w:sz w:val="20"/>
        </w:rPr>
      </w:pPr>
      <w:r w:rsidRPr="006122AE">
        <w:rPr>
          <w:sz w:val="20"/>
        </w:rPr>
        <w:t>Schmitt, D.P. &amp; International Sexuality Description Project.  (2003b)</w:t>
      </w:r>
      <w:proofErr w:type="gramStart"/>
      <w:r w:rsidRPr="006122AE">
        <w:rPr>
          <w:sz w:val="20"/>
        </w:rPr>
        <w:t>.  Universal</w:t>
      </w:r>
      <w:proofErr w:type="gramEnd"/>
      <w:r w:rsidRPr="006122AE">
        <w:rPr>
          <w:sz w:val="20"/>
        </w:rPr>
        <w:t xml:space="preserve"> sex differences in the desire for  sexual </w:t>
      </w:r>
    </w:p>
    <w:p w:rsidR="006122AE" w:rsidRPr="006122AE" w:rsidRDefault="006122AE" w:rsidP="006122AE">
      <w:pPr>
        <w:rPr>
          <w:sz w:val="20"/>
        </w:rPr>
      </w:pPr>
      <w:r w:rsidRPr="006122AE">
        <w:rPr>
          <w:sz w:val="20"/>
        </w:rPr>
        <w:t xml:space="preserve">     </w:t>
      </w:r>
      <w:proofErr w:type="gramStart"/>
      <w:r w:rsidRPr="006122AE">
        <w:rPr>
          <w:sz w:val="20"/>
        </w:rPr>
        <w:t>variety</w:t>
      </w:r>
      <w:proofErr w:type="gramEnd"/>
      <w:r w:rsidRPr="006122AE">
        <w:rPr>
          <w:sz w:val="20"/>
        </w:rPr>
        <w:t xml:space="preserve">:  Tests from 52 nations, 6 continents, and 13 islands.  </w:t>
      </w:r>
      <w:r w:rsidRPr="006122AE">
        <w:rPr>
          <w:i/>
          <w:iCs/>
          <w:sz w:val="20"/>
        </w:rPr>
        <w:t>Journal of Personality and Social Psychology, 85</w:t>
      </w:r>
      <w:r w:rsidRPr="006122AE">
        <w:rPr>
          <w:sz w:val="20"/>
        </w:rPr>
        <w:t>, 85-04</w:t>
      </w:r>
    </w:p>
    <w:p w:rsidR="005A48FB" w:rsidRPr="00100F25" w:rsidRDefault="005A48FB" w:rsidP="005A48FB">
      <w:pPr>
        <w:rPr>
          <w:sz w:val="20"/>
        </w:rPr>
      </w:pPr>
    </w:p>
    <w:p w:rsidR="005A48FB" w:rsidRPr="00100F25" w:rsidRDefault="005A48FB" w:rsidP="001E5952">
      <w:pPr>
        <w:ind w:firstLine="720"/>
        <w:rPr>
          <w:sz w:val="20"/>
        </w:rPr>
      </w:pPr>
    </w:p>
    <w:p w:rsidR="003100F9" w:rsidRDefault="003100F9">
      <w:pPr>
        <w:rPr>
          <w:sz w:val="20"/>
        </w:rPr>
      </w:pPr>
      <w:r>
        <w:rPr>
          <w:sz w:val="20"/>
        </w:rPr>
        <w:br w:type="page"/>
      </w:r>
    </w:p>
    <w:p w:rsidR="001E5952" w:rsidRPr="00100F25" w:rsidRDefault="001E5952" w:rsidP="00A54174">
      <w:pPr>
        <w:rPr>
          <w:sz w:val="20"/>
        </w:rPr>
      </w:pPr>
    </w:p>
    <w:tbl>
      <w:tblPr>
        <w:tblW w:w="9156" w:type="dxa"/>
        <w:tblCellMar>
          <w:left w:w="0" w:type="dxa"/>
          <w:right w:w="0" w:type="dxa"/>
        </w:tblCellMar>
        <w:tblLook w:val="0600" w:firstRow="0" w:lastRow="0" w:firstColumn="0" w:lastColumn="0" w:noHBand="1" w:noVBand="1"/>
      </w:tblPr>
      <w:tblGrid>
        <w:gridCol w:w="2538"/>
        <w:gridCol w:w="280"/>
        <w:gridCol w:w="1440"/>
        <w:gridCol w:w="1440"/>
        <w:gridCol w:w="288"/>
        <w:gridCol w:w="1440"/>
        <w:gridCol w:w="1440"/>
        <w:gridCol w:w="290"/>
      </w:tblGrid>
      <w:tr w:rsidR="00DC1731" w:rsidRPr="003100F9" w:rsidTr="00BD38BA">
        <w:trPr>
          <w:trHeight w:val="576"/>
        </w:trPr>
        <w:tc>
          <w:tcPr>
            <w:tcW w:w="9156" w:type="dxa"/>
            <w:gridSpan w:val="8"/>
            <w:tcBorders>
              <w:top w:val="nil"/>
              <w:left w:val="nil"/>
              <w:bottom w:val="single" w:sz="8" w:space="0" w:color="000000"/>
              <w:right w:val="nil"/>
            </w:tcBorders>
            <w:shd w:val="clear" w:color="auto" w:fill="auto"/>
            <w:tcMar>
              <w:top w:w="15" w:type="dxa"/>
              <w:left w:w="108" w:type="dxa"/>
              <w:bottom w:w="0" w:type="dxa"/>
              <w:right w:w="108" w:type="dxa"/>
            </w:tcMar>
            <w:hideMark/>
          </w:tcPr>
          <w:p w:rsidR="00BD38BA" w:rsidRDefault="00BD38BA" w:rsidP="003100F9">
            <w:pPr>
              <w:rPr>
                <w:rFonts w:eastAsiaTheme="minorEastAsia"/>
                <w:color w:val="000000" w:themeColor="text1"/>
                <w:kern w:val="24"/>
                <w:sz w:val="20"/>
              </w:rPr>
            </w:pPr>
          </w:p>
          <w:p w:rsidR="00DC1731" w:rsidRDefault="00DC1731" w:rsidP="003100F9">
            <w:pPr>
              <w:rPr>
                <w:rFonts w:eastAsiaTheme="minorEastAsia"/>
                <w:color w:val="000000" w:themeColor="text1"/>
                <w:kern w:val="24"/>
                <w:sz w:val="20"/>
              </w:rPr>
            </w:pPr>
            <w:r w:rsidRPr="003100F9">
              <w:rPr>
                <w:rFonts w:eastAsiaTheme="minorEastAsia"/>
                <w:color w:val="000000" w:themeColor="text1"/>
                <w:kern w:val="24"/>
                <w:sz w:val="20"/>
              </w:rPr>
              <w:t>Table 1.  Correlations Between Attachment Scales and Desire for Short-Term and Long-Term Mate-Seeking</w:t>
            </w:r>
          </w:p>
          <w:p w:rsidR="00BD38BA" w:rsidRPr="003100F9" w:rsidRDefault="00BD38BA" w:rsidP="003100F9">
            <w:pPr>
              <w:rPr>
                <w:sz w:val="20"/>
              </w:rPr>
            </w:pPr>
          </w:p>
        </w:tc>
      </w:tr>
      <w:tr w:rsidR="00F808C7" w:rsidRPr="003100F9" w:rsidTr="00DC1731">
        <w:trPr>
          <w:trHeight w:val="720"/>
        </w:trPr>
        <w:tc>
          <w:tcPr>
            <w:tcW w:w="2538" w:type="dxa"/>
            <w:tcBorders>
              <w:top w:val="single" w:sz="8" w:space="0" w:color="000000"/>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28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2880"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rsidR="00DC1731" w:rsidRDefault="00DC1731" w:rsidP="003100F9">
            <w:pPr>
              <w:jc w:val="center"/>
              <w:rPr>
                <w:color w:val="000000" w:themeColor="text1"/>
                <w:kern w:val="24"/>
                <w:sz w:val="20"/>
                <w:u w:val="single"/>
              </w:rPr>
            </w:pPr>
          </w:p>
          <w:p w:rsidR="003100F9" w:rsidRPr="003100F9" w:rsidRDefault="003100F9" w:rsidP="003100F9">
            <w:pPr>
              <w:jc w:val="center"/>
              <w:rPr>
                <w:sz w:val="20"/>
              </w:rPr>
            </w:pPr>
            <w:r w:rsidRPr="003100F9">
              <w:rPr>
                <w:color w:val="000000" w:themeColor="text1"/>
                <w:kern w:val="24"/>
                <w:sz w:val="20"/>
                <w:u w:val="single"/>
              </w:rPr>
              <w:t>Short-Term</w:t>
            </w:r>
          </w:p>
        </w:tc>
        <w:tc>
          <w:tcPr>
            <w:tcW w:w="288" w:type="dxa"/>
            <w:tcBorders>
              <w:top w:val="single" w:sz="8" w:space="0" w:color="000000"/>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2880"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rsidR="00DC1731" w:rsidRDefault="00DC1731" w:rsidP="003100F9">
            <w:pPr>
              <w:jc w:val="center"/>
              <w:rPr>
                <w:color w:val="000000" w:themeColor="text1"/>
                <w:kern w:val="24"/>
                <w:sz w:val="20"/>
                <w:u w:val="single"/>
              </w:rPr>
            </w:pPr>
          </w:p>
          <w:p w:rsidR="003100F9" w:rsidRPr="003100F9" w:rsidRDefault="003100F9" w:rsidP="003100F9">
            <w:pPr>
              <w:jc w:val="center"/>
              <w:rPr>
                <w:sz w:val="20"/>
              </w:rPr>
            </w:pPr>
            <w:r w:rsidRPr="003100F9">
              <w:rPr>
                <w:color w:val="000000" w:themeColor="text1"/>
                <w:kern w:val="24"/>
                <w:sz w:val="20"/>
                <w:u w:val="single"/>
              </w:rPr>
              <w:t>Long-Term</w:t>
            </w:r>
          </w:p>
        </w:tc>
        <w:tc>
          <w:tcPr>
            <w:tcW w:w="29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r w:rsidR="003100F9" w:rsidRPr="003100F9" w:rsidTr="00DC1731">
        <w:trPr>
          <w:trHeight w:val="504"/>
        </w:trPr>
        <w:tc>
          <w:tcPr>
            <w:tcW w:w="253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28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u w:val="single"/>
              </w:rPr>
              <w:t>Female</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u w:val="single"/>
              </w:rPr>
              <w:t>Male</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u w:val="single"/>
              </w:rPr>
              <w:t>Female</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u w:val="single"/>
              </w:rPr>
              <w:t>Male</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r w:rsidR="003100F9" w:rsidRPr="003100F9" w:rsidTr="00DC1731">
        <w:trPr>
          <w:trHeight w:val="504"/>
        </w:trPr>
        <w:tc>
          <w:tcPr>
            <w:tcW w:w="253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r w:rsidRPr="003100F9">
              <w:rPr>
                <w:color w:val="000000" w:themeColor="text1"/>
                <w:kern w:val="24"/>
                <w:sz w:val="20"/>
                <w:u w:val="single"/>
              </w:rPr>
              <w:t>ECR-R Anxiety</w:t>
            </w:r>
          </w:p>
        </w:tc>
        <w:tc>
          <w:tcPr>
            <w:tcW w:w="28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.10</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267C15" w:rsidP="003100F9">
            <w:pPr>
              <w:jc w:val="center"/>
              <w:rPr>
                <w:sz w:val="20"/>
              </w:rPr>
            </w:pPr>
            <w:r>
              <w:rPr>
                <w:color w:val="000000" w:themeColor="text1"/>
                <w:kern w:val="24"/>
                <w:sz w:val="20"/>
              </w:rPr>
              <w:t>.36***</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.13</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-.12</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r w:rsidR="003100F9" w:rsidRPr="003100F9" w:rsidTr="00DC1731">
        <w:trPr>
          <w:trHeight w:val="504"/>
        </w:trPr>
        <w:tc>
          <w:tcPr>
            <w:tcW w:w="253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r w:rsidRPr="003100F9">
              <w:rPr>
                <w:color w:val="000000" w:themeColor="text1"/>
                <w:kern w:val="24"/>
                <w:sz w:val="20"/>
                <w:u w:val="single"/>
              </w:rPr>
              <w:t>ECR-R Avoidance</w:t>
            </w:r>
          </w:p>
        </w:tc>
        <w:tc>
          <w:tcPr>
            <w:tcW w:w="28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.14</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1F75BB" w:rsidP="001F75BB">
            <w:pPr>
              <w:jc w:val="center"/>
              <w:rPr>
                <w:sz w:val="20"/>
              </w:rPr>
            </w:pPr>
            <w:r>
              <w:rPr>
                <w:color w:val="000000" w:themeColor="text1"/>
                <w:kern w:val="24"/>
                <w:sz w:val="20"/>
              </w:rPr>
              <w:t>.39***</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-.07</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-.15</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r w:rsidR="003100F9" w:rsidRPr="00DC1731" w:rsidTr="00DC1731">
        <w:trPr>
          <w:trHeight w:val="504"/>
        </w:trPr>
        <w:tc>
          <w:tcPr>
            <w:tcW w:w="253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b/>
                <w:sz w:val="20"/>
              </w:rPr>
            </w:pPr>
            <w:r w:rsidRPr="003100F9">
              <w:rPr>
                <w:b/>
                <w:color w:val="000000" w:themeColor="text1"/>
                <w:kern w:val="24"/>
                <w:sz w:val="20"/>
                <w:u w:val="single"/>
              </w:rPr>
              <w:t>PAQ Subscales</w:t>
            </w:r>
          </w:p>
        </w:tc>
        <w:tc>
          <w:tcPr>
            <w:tcW w:w="28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b/>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b/>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b/>
                <w:sz w:val="20"/>
              </w:rPr>
            </w:pP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b/>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b/>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b/>
                <w:sz w:val="20"/>
              </w:rPr>
            </w:pP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b/>
                <w:sz w:val="20"/>
              </w:rPr>
            </w:pPr>
          </w:p>
        </w:tc>
      </w:tr>
      <w:tr w:rsidR="00F808C7" w:rsidRPr="003100F9" w:rsidTr="00DC1731">
        <w:trPr>
          <w:trHeight w:val="504"/>
        </w:trPr>
        <w:tc>
          <w:tcPr>
            <w:tcW w:w="253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r w:rsidRPr="003100F9">
              <w:rPr>
                <w:color w:val="000000" w:themeColor="text1"/>
                <w:kern w:val="24"/>
                <w:sz w:val="20"/>
              </w:rPr>
              <w:t xml:space="preserve">   Affect Qual. Father</w:t>
            </w:r>
          </w:p>
        </w:tc>
        <w:tc>
          <w:tcPr>
            <w:tcW w:w="28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.01</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-.20†</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-.06</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.09</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r w:rsidR="00F808C7" w:rsidRPr="003100F9" w:rsidTr="00DC1731">
        <w:trPr>
          <w:trHeight w:val="504"/>
        </w:trPr>
        <w:tc>
          <w:tcPr>
            <w:tcW w:w="253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r w:rsidRPr="003100F9">
              <w:rPr>
                <w:color w:val="000000" w:themeColor="text1"/>
                <w:kern w:val="24"/>
                <w:sz w:val="20"/>
              </w:rPr>
              <w:t xml:space="preserve">   Affect Qual. Mother</w:t>
            </w:r>
          </w:p>
        </w:tc>
        <w:tc>
          <w:tcPr>
            <w:tcW w:w="28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506D77" w:rsidP="003100F9">
            <w:pPr>
              <w:jc w:val="center"/>
              <w:rPr>
                <w:sz w:val="20"/>
              </w:rPr>
            </w:pPr>
            <w:r>
              <w:rPr>
                <w:color w:val="000000" w:themeColor="text1"/>
                <w:kern w:val="24"/>
                <w:sz w:val="20"/>
              </w:rPr>
              <w:t>-.19*</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1F75BB" w:rsidP="003100F9">
            <w:pPr>
              <w:jc w:val="center"/>
              <w:rPr>
                <w:sz w:val="20"/>
              </w:rPr>
            </w:pPr>
            <w:r>
              <w:rPr>
                <w:color w:val="000000" w:themeColor="text1"/>
                <w:kern w:val="24"/>
                <w:sz w:val="20"/>
              </w:rPr>
              <w:t>-.36***</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-.01</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.11</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r w:rsidR="00F808C7" w:rsidRPr="003100F9" w:rsidTr="00DC1731">
        <w:trPr>
          <w:trHeight w:val="504"/>
        </w:trPr>
        <w:tc>
          <w:tcPr>
            <w:tcW w:w="253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r w:rsidRPr="003100F9">
              <w:rPr>
                <w:color w:val="000000" w:themeColor="text1"/>
                <w:kern w:val="24"/>
                <w:sz w:val="20"/>
              </w:rPr>
              <w:t xml:space="preserve">   Facilitate </w:t>
            </w:r>
            <w:proofErr w:type="spellStart"/>
            <w:r w:rsidRPr="003100F9">
              <w:rPr>
                <w:color w:val="000000" w:themeColor="text1"/>
                <w:kern w:val="24"/>
                <w:sz w:val="20"/>
              </w:rPr>
              <w:t>Indep</w:t>
            </w:r>
            <w:proofErr w:type="spellEnd"/>
            <w:r w:rsidRPr="003100F9">
              <w:rPr>
                <w:color w:val="000000" w:themeColor="text1"/>
                <w:kern w:val="24"/>
                <w:sz w:val="20"/>
              </w:rPr>
              <w:t>. Father</w:t>
            </w:r>
          </w:p>
        </w:tc>
        <w:tc>
          <w:tcPr>
            <w:tcW w:w="28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-.06</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-.20†</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-.04</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.02</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r w:rsidR="00F808C7" w:rsidRPr="003100F9" w:rsidTr="00DC1731">
        <w:trPr>
          <w:trHeight w:val="504"/>
        </w:trPr>
        <w:tc>
          <w:tcPr>
            <w:tcW w:w="253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r w:rsidRPr="003100F9">
              <w:rPr>
                <w:color w:val="000000" w:themeColor="text1"/>
                <w:kern w:val="24"/>
                <w:sz w:val="20"/>
              </w:rPr>
              <w:t xml:space="preserve">   Facilitate </w:t>
            </w:r>
            <w:proofErr w:type="spellStart"/>
            <w:r w:rsidRPr="003100F9">
              <w:rPr>
                <w:color w:val="000000" w:themeColor="text1"/>
                <w:kern w:val="24"/>
                <w:sz w:val="20"/>
              </w:rPr>
              <w:t>Indep</w:t>
            </w:r>
            <w:proofErr w:type="spellEnd"/>
            <w:r w:rsidRPr="003100F9">
              <w:rPr>
                <w:color w:val="000000" w:themeColor="text1"/>
                <w:kern w:val="24"/>
                <w:sz w:val="20"/>
              </w:rPr>
              <w:t>. Mother</w:t>
            </w:r>
          </w:p>
        </w:tc>
        <w:tc>
          <w:tcPr>
            <w:tcW w:w="28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1F75BB" w:rsidP="003100F9">
            <w:pPr>
              <w:jc w:val="center"/>
              <w:rPr>
                <w:sz w:val="20"/>
              </w:rPr>
            </w:pPr>
            <w:r>
              <w:rPr>
                <w:color w:val="000000" w:themeColor="text1"/>
                <w:kern w:val="24"/>
                <w:sz w:val="20"/>
              </w:rPr>
              <w:t>-.21*</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1F75BB" w:rsidP="003100F9">
            <w:pPr>
              <w:jc w:val="center"/>
              <w:rPr>
                <w:sz w:val="20"/>
              </w:rPr>
            </w:pPr>
            <w:r>
              <w:rPr>
                <w:color w:val="000000" w:themeColor="text1"/>
                <w:kern w:val="24"/>
                <w:sz w:val="20"/>
              </w:rPr>
              <w:t>-.31**</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.06</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.11</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r w:rsidR="00F808C7" w:rsidRPr="003100F9" w:rsidTr="00DC1731">
        <w:trPr>
          <w:trHeight w:val="504"/>
        </w:trPr>
        <w:tc>
          <w:tcPr>
            <w:tcW w:w="253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r w:rsidRPr="003100F9">
              <w:rPr>
                <w:color w:val="000000" w:themeColor="text1"/>
                <w:kern w:val="24"/>
                <w:sz w:val="20"/>
              </w:rPr>
              <w:t xml:space="preserve">   Social Support Father</w:t>
            </w:r>
          </w:p>
        </w:tc>
        <w:tc>
          <w:tcPr>
            <w:tcW w:w="28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.06</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.04</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-.06</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.12</w:t>
            </w:r>
          </w:p>
        </w:tc>
        <w:tc>
          <w:tcPr>
            <w:tcW w:w="288" w:type="dxa"/>
            <w:tcBorders>
              <w:top w:val="nil"/>
              <w:left w:val="nil"/>
              <w:bottom w:val="nil"/>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r w:rsidR="00F808C7" w:rsidRPr="003100F9" w:rsidTr="00DC1731">
        <w:trPr>
          <w:trHeight w:val="504"/>
        </w:trPr>
        <w:tc>
          <w:tcPr>
            <w:tcW w:w="2538"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r w:rsidRPr="003100F9">
              <w:rPr>
                <w:color w:val="000000" w:themeColor="text1"/>
                <w:kern w:val="24"/>
                <w:sz w:val="20"/>
              </w:rPr>
              <w:t xml:space="preserve">   Social Support Mother</w:t>
            </w:r>
          </w:p>
        </w:tc>
        <w:tc>
          <w:tcPr>
            <w:tcW w:w="28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-.13</w:t>
            </w:r>
          </w:p>
        </w:tc>
        <w:tc>
          <w:tcPr>
            <w:tcW w:w="144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-.02</w:t>
            </w:r>
          </w:p>
        </w:tc>
        <w:tc>
          <w:tcPr>
            <w:tcW w:w="288"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c>
          <w:tcPr>
            <w:tcW w:w="144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.02</w:t>
            </w:r>
          </w:p>
        </w:tc>
        <w:tc>
          <w:tcPr>
            <w:tcW w:w="144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100F9" w:rsidRPr="003100F9" w:rsidRDefault="003100F9" w:rsidP="003100F9">
            <w:pPr>
              <w:jc w:val="center"/>
              <w:rPr>
                <w:sz w:val="20"/>
              </w:rPr>
            </w:pPr>
            <w:r w:rsidRPr="003100F9">
              <w:rPr>
                <w:color w:val="000000" w:themeColor="text1"/>
                <w:kern w:val="24"/>
                <w:sz w:val="20"/>
              </w:rPr>
              <w:t>-.02</w:t>
            </w:r>
          </w:p>
        </w:tc>
        <w:tc>
          <w:tcPr>
            <w:tcW w:w="288"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100F9" w:rsidRPr="003100F9" w:rsidRDefault="003100F9" w:rsidP="003100F9">
            <w:pPr>
              <w:rPr>
                <w:sz w:val="20"/>
              </w:rPr>
            </w:pPr>
          </w:p>
        </w:tc>
      </w:tr>
    </w:tbl>
    <w:p w:rsidR="000C38A1" w:rsidRPr="003100F9" w:rsidRDefault="000C38A1" w:rsidP="000C38A1">
      <w:pPr>
        <w:rPr>
          <w:sz w:val="20"/>
        </w:rPr>
      </w:pPr>
    </w:p>
    <w:p w:rsidR="00BD38BA" w:rsidRPr="00BD38BA" w:rsidRDefault="00BD38BA" w:rsidP="00BD38BA">
      <w:pPr>
        <w:rPr>
          <w:sz w:val="20"/>
        </w:rPr>
      </w:pPr>
      <w:proofErr w:type="gramStart"/>
      <w:r w:rsidRPr="00BD38BA">
        <w:rPr>
          <w:sz w:val="20"/>
        </w:rPr>
        <w:t xml:space="preserve">†  </w:t>
      </w:r>
      <w:r w:rsidRPr="00BD38BA">
        <w:rPr>
          <w:i/>
          <w:iCs/>
          <w:sz w:val="20"/>
        </w:rPr>
        <w:t>p</w:t>
      </w:r>
      <w:proofErr w:type="gramEnd"/>
      <w:r w:rsidRPr="00BD38BA">
        <w:rPr>
          <w:sz w:val="20"/>
        </w:rPr>
        <w:t xml:space="preserve"> &lt; .075  *  </w:t>
      </w:r>
      <w:r w:rsidRPr="00BD38BA">
        <w:rPr>
          <w:i/>
          <w:iCs/>
          <w:sz w:val="20"/>
        </w:rPr>
        <w:t>p</w:t>
      </w:r>
      <w:r w:rsidRPr="00BD38BA">
        <w:rPr>
          <w:sz w:val="20"/>
        </w:rPr>
        <w:t xml:space="preserve"> &lt; .05</w:t>
      </w:r>
      <w:r w:rsidRPr="00BD38BA">
        <w:rPr>
          <w:sz w:val="20"/>
        </w:rPr>
        <w:tab/>
        <w:t xml:space="preserve">**  </w:t>
      </w:r>
      <w:r w:rsidRPr="00BD38BA">
        <w:rPr>
          <w:i/>
          <w:iCs/>
          <w:sz w:val="20"/>
        </w:rPr>
        <w:t>p</w:t>
      </w:r>
      <w:r w:rsidRPr="00BD38BA">
        <w:rPr>
          <w:sz w:val="20"/>
        </w:rPr>
        <w:t xml:space="preserve"> &lt; .01</w:t>
      </w:r>
      <w:r w:rsidRPr="00BD38BA">
        <w:rPr>
          <w:sz w:val="20"/>
        </w:rPr>
        <w:tab/>
        <w:t>***  p &lt; .001</w:t>
      </w:r>
    </w:p>
    <w:p w:rsidR="000C38A1" w:rsidRPr="003100F9" w:rsidRDefault="000C38A1" w:rsidP="000C38A1">
      <w:pPr>
        <w:rPr>
          <w:sz w:val="20"/>
        </w:rPr>
      </w:pPr>
    </w:p>
    <w:p w:rsidR="000C38A1" w:rsidRDefault="000C38A1" w:rsidP="000C38A1">
      <w:pPr>
        <w:rPr>
          <w:sz w:val="20"/>
        </w:rPr>
      </w:pPr>
    </w:p>
    <w:p w:rsidR="00BC2F9B" w:rsidRDefault="00BC2F9B">
      <w:pPr>
        <w:rPr>
          <w:sz w:val="20"/>
        </w:rPr>
      </w:pPr>
      <w:r>
        <w:rPr>
          <w:sz w:val="20"/>
        </w:rPr>
        <w:br w:type="page"/>
      </w:r>
    </w:p>
    <w:p w:rsidR="00BC2F9B" w:rsidRDefault="00BC2F9B" w:rsidP="000C38A1">
      <w:pPr>
        <w:rPr>
          <w:sz w:val="20"/>
        </w:rPr>
      </w:pPr>
    </w:p>
    <w:tbl>
      <w:tblPr>
        <w:tblW w:w="21600" w:type="dxa"/>
        <w:tblCellMar>
          <w:left w:w="0" w:type="dxa"/>
          <w:right w:w="0" w:type="dxa"/>
        </w:tblCellMar>
        <w:tblLook w:val="0600" w:firstRow="0" w:lastRow="0" w:firstColumn="0" w:lastColumn="0" w:noHBand="1" w:noVBand="1"/>
      </w:tblPr>
      <w:tblGrid>
        <w:gridCol w:w="223"/>
        <w:gridCol w:w="222"/>
        <w:gridCol w:w="222"/>
        <w:gridCol w:w="222"/>
        <w:gridCol w:w="222"/>
        <w:gridCol w:w="222"/>
        <w:gridCol w:w="3220"/>
        <w:gridCol w:w="1437"/>
        <w:gridCol w:w="678"/>
        <w:gridCol w:w="8"/>
        <w:gridCol w:w="34"/>
        <w:gridCol w:w="1398"/>
        <w:gridCol w:w="8"/>
        <w:gridCol w:w="34"/>
        <w:gridCol w:w="643"/>
        <w:gridCol w:w="8"/>
        <w:gridCol w:w="69"/>
        <w:gridCol w:w="52"/>
        <w:gridCol w:w="1311"/>
        <w:gridCol w:w="8"/>
        <w:gridCol w:w="74"/>
        <w:gridCol w:w="762"/>
        <w:gridCol w:w="11"/>
        <w:gridCol w:w="2142"/>
        <w:gridCol w:w="2256"/>
        <w:gridCol w:w="764"/>
        <w:gridCol w:w="2260"/>
        <w:gridCol w:w="762"/>
        <w:gridCol w:w="2328"/>
      </w:tblGrid>
      <w:tr w:rsidR="009D319F" w:rsidRPr="00BC2F9B" w:rsidTr="006A1B67">
        <w:trPr>
          <w:gridAfter w:val="7"/>
          <w:wAfter w:w="10523" w:type="dxa"/>
          <w:trHeight w:val="432"/>
        </w:trPr>
        <w:tc>
          <w:tcPr>
            <w:tcW w:w="11077" w:type="dxa"/>
            <w:gridSpan w:val="22"/>
            <w:tcBorders>
              <w:top w:val="nil"/>
              <w:left w:val="nil"/>
              <w:bottom w:val="single" w:sz="8" w:space="0" w:color="000000"/>
              <w:right w:val="nil"/>
            </w:tcBorders>
            <w:shd w:val="clear" w:color="auto" w:fill="auto"/>
            <w:tcMar>
              <w:top w:w="15" w:type="dxa"/>
              <w:left w:w="108" w:type="dxa"/>
              <w:bottom w:w="0" w:type="dxa"/>
              <w:right w:w="108" w:type="dxa"/>
            </w:tcMar>
            <w:hideMark/>
          </w:tcPr>
          <w:p w:rsidR="007862C3" w:rsidRDefault="007862C3" w:rsidP="007862C3">
            <w:pPr>
              <w:ind w:left="-72"/>
              <w:rPr>
                <w:rFonts w:eastAsiaTheme="minorEastAsia"/>
                <w:color w:val="000000" w:themeColor="text1"/>
                <w:kern w:val="24"/>
                <w:sz w:val="20"/>
              </w:rPr>
            </w:pPr>
          </w:p>
          <w:p w:rsidR="00BC2F9B" w:rsidRDefault="00BC2F9B" w:rsidP="007862C3">
            <w:pPr>
              <w:ind w:left="-72"/>
              <w:rPr>
                <w:rFonts w:eastAsiaTheme="minorEastAsia"/>
                <w:color w:val="000000" w:themeColor="text1"/>
                <w:kern w:val="24"/>
                <w:sz w:val="20"/>
              </w:rPr>
            </w:pPr>
            <w:r w:rsidRPr="00BC2F9B">
              <w:rPr>
                <w:rFonts w:eastAsiaTheme="minorEastAsia"/>
                <w:color w:val="000000" w:themeColor="text1"/>
                <w:kern w:val="24"/>
                <w:sz w:val="20"/>
              </w:rPr>
              <w:t>Table 2.  Multiple Regression Results Showing Attachment Dimensions Accounting for Unique Variance in Short-Term Mate-Seeking</w:t>
            </w:r>
          </w:p>
          <w:p w:rsidR="00BC2F9B" w:rsidRPr="00BC2F9B" w:rsidRDefault="00BC2F9B" w:rsidP="007862C3">
            <w:pPr>
              <w:ind w:left="-72"/>
              <w:rPr>
                <w:sz w:val="20"/>
              </w:rPr>
            </w:pPr>
          </w:p>
        </w:tc>
      </w:tr>
      <w:tr w:rsidR="006C5FF1" w:rsidRPr="00BC2F9B" w:rsidTr="006A1B67">
        <w:trPr>
          <w:gridAfter w:val="10"/>
          <w:wAfter w:w="11367" w:type="dxa"/>
        </w:trPr>
        <w:tc>
          <w:tcPr>
            <w:tcW w:w="4553" w:type="dxa"/>
            <w:gridSpan w:val="7"/>
            <w:tcBorders>
              <w:top w:val="single" w:sz="8" w:space="0" w:color="000000"/>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37" w:type="dxa"/>
            <w:tcBorders>
              <w:top w:val="single" w:sz="8" w:space="0" w:color="000000"/>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i/>
                <w:iCs/>
                <w:color w:val="000000" w:themeColor="text1"/>
                <w:kern w:val="24"/>
                <w:sz w:val="20"/>
                <w:u w:val="single"/>
              </w:rPr>
              <w:t>β</w:t>
            </w:r>
          </w:p>
        </w:tc>
        <w:tc>
          <w:tcPr>
            <w:tcW w:w="678" w:type="dxa"/>
            <w:tcBorders>
              <w:top w:val="single" w:sz="8" w:space="0" w:color="000000"/>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i/>
                <w:iCs/>
                <w:color w:val="000000" w:themeColor="text1"/>
                <w:kern w:val="24"/>
                <w:sz w:val="20"/>
                <w:u w:val="single"/>
              </w:rPr>
              <w:t>t</w:t>
            </w:r>
          </w:p>
        </w:tc>
        <w:tc>
          <w:tcPr>
            <w:tcW w:w="685"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4"/>
            <w:tcBorders>
              <w:top w:val="single" w:sz="8" w:space="0" w:color="000000"/>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i/>
                <w:iCs/>
                <w:color w:val="000000" w:themeColor="text1"/>
                <w:kern w:val="24"/>
                <w:sz w:val="20"/>
                <w:u w:val="single"/>
              </w:rPr>
              <w:t>p</w:t>
            </w:r>
          </w:p>
        </w:tc>
      </w:tr>
      <w:tr w:rsidR="00F24EE4" w:rsidRPr="00BC2F9B" w:rsidTr="006A1B67">
        <w:trPr>
          <w:gridAfter w:val="10"/>
          <w:wAfter w:w="11367"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iCs/>
                <w:color w:val="000000" w:themeColor="text1"/>
                <w:kern w:val="24"/>
                <w:sz w:val="20"/>
                <w:u w:val="single"/>
              </w:rPr>
              <w:t>Criterion:  Desire for Short-Term Mate</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678"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685"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r>
      <w:tr w:rsidR="006C5FF1" w:rsidRPr="00BC2F9B" w:rsidTr="006A1B67">
        <w:trPr>
          <w:gridAfter w:val="10"/>
          <w:wAfter w:w="11367"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Sex</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-.33</w:t>
            </w:r>
          </w:p>
        </w:tc>
        <w:tc>
          <w:tcPr>
            <w:tcW w:w="678"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-5.55</w:t>
            </w:r>
          </w:p>
        </w:tc>
        <w:tc>
          <w:tcPr>
            <w:tcW w:w="685"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&lt;.001</w:t>
            </w:r>
          </w:p>
        </w:tc>
      </w:tr>
      <w:tr w:rsidR="002D1693" w:rsidRPr="00BC2F9B" w:rsidTr="006A1B67">
        <w:trPr>
          <w:gridAfter w:val="10"/>
          <w:wAfter w:w="11367" w:type="dxa"/>
          <w:trHeight w:val="96"/>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spacing w:line="96" w:lineRule="atLeast"/>
              <w:rPr>
                <w:sz w:val="20"/>
              </w:rPr>
            </w:pPr>
            <w:r w:rsidRPr="00BC2F9B">
              <w:rPr>
                <w:color w:val="000000" w:themeColor="text1"/>
                <w:kern w:val="24"/>
                <w:sz w:val="20"/>
              </w:rPr>
              <w:t xml:space="preserve">    Adult Attachment—Anxiety </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spacing w:line="96" w:lineRule="atLeast"/>
              <w:jc w:val="center"/>
              <w:rPr>
                <w:sz w:val="20"/>
              </w:rPr>
            </w:pPr>
            <w:r w:rsidRPr="00BC2F9B">
              <w:rPr>
                <w:color w:val="000000" w:themeColor="text1"/>
                <w:kern w:val="24"/>
                <w:sz w:val="20"/>
              </w:rPr>
              <w:t>.12</w:t>
            </w:r>
          </w:p>
        </w:tc>
        <w:tc>
          <w:tcPr>
            <w:tcW w:w="678"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spacing w:line="96" w:lineRule="atLeast"/>
              <w:jc w:val="center"/>
              <w:rPr>
                <w:sz w:val="20"/>
              </w:rPr>
            </w:pPr>
            <w:r w:rsidRPr="00BC2F9B">
              <w:rPr>
                <w:color w:val="000000" w:themeColor="text1"/>
                <w:kern w:val="24"/>
                <w:sz w:val="20"/>
              </w:rPr>
              <w:t>1.80</w:t>
            </w:r>
          </w:p>
        </w:tc>
        <w:tc>
          <w:tcPr>
            <w:tcW w:w="685"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spacing w:line="96" w:lineRule="atLeast"/>
              <w:jc w:val="center"/>
              <w:rPr>
                <w:sz w:val="20"/>
              </w:rPr>
            </w:pPr>
            <w:r w:rsidRPr="00BC2F9B">
              <w:rPr>
                <w:color w:val="000000" w:themeColor="text1"/>
                <w:kern w:val="24"/>
                <w:sz w:val="20"/>
              </w:rPr>
              <w:t>.074</w:t>
            </w:r>
          </w:p>
        </w:tc>
      </w:tr>
      <w:tr w:rsidR="002D1693" w:rsidRPr="00BC2F9B" w:rsidTr="006A1B67">
        <w:trPr>
          <w:gridAfter w:val="10"/>
          <w:wAfter w:w="11367"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Adult Attachment—Avoidance </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.18</w:t>
            </w:r>
          </w:p>
        </w:tc>
        <w:tc>
          <w:tcPr>
            <w:tcW w:w="678"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2.62</w:t>
            </w:r>
          </w:p>
        </w:tc>
        <w:tc>
          <w:tcPr>
            <w:tcW w:w="685"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.009</w:t>
            </w:r>
          </w:p>
        </w:tc>
      </w:tr>
      <w:tr w:rsidR="002D1693" w:rsidRPr="00BC2F9B" w:rsidTr="006A1B67">
        <w:trPr>
          <w:gridAfter w:val="11"/>
          <w:wAfter w:w="12678" w:type="dxa"/>
          <w:trHeight w:val="432"/>
        </w:trPr>
        <w:tc>
          <w:tcPr>
            <w:tcW w:w="8922" w:type="dxa"/>
            <w:gridSpan w:val="18"/>
            <w:tcBorders>
              <w:top w:val="nil"/>
              <w:left w:val="nil"/>
              <w:bottom w:val="nil"/>
              <w:right w:val="nil"/>
            </w:tcBorders>
            <w:shd w:val="clear" w:color="auto" w:fill="auto"/>
            <w:tcMar>
              <w:top w:w="15" w:type="dxa"/>
              <w:left w:w="108" w:type="dxa"/>
              <w:bottom w:w="0" w:type="dxa"/>
              <w:right w:w="108" w:type="dxa"/>
            </w:tcMar>
            <w:vAlign w:val="bottom"/>
            <w:hideMark/>
          </w:tcPr>
          <w:p w:rsidR="007862C3" w:rsidRDefault="007862C3" w:rsidP="00BC2F9B">
            <w:pPr>
              <w:rPr>
                <w:color w:val="000000" w:themeColor="text1"/>
                <w:kern w:val="24"/>
                <w:sz w:val="20"/>
              </w:rPr>
            </w:pPr>
          </w:p>
          <w:p w:rsidR="00BC2F9B" w:rsidRPr="00BC2F9B" w:rsidRDefault="002D1693" w:rsidP="00BC2F9B">
            <w:pPr>
              <w:rPr>
                <w:sz w:val="20"/>
              </w:rPr>
            </w:pPr>
            <w:r w:rsidRPr="00BC2F9B">
              <w:rPr>
                <w:color w:val="000000" w:themeColor="text1"/>
                <w:kern w:val="24"/>
                <w:sz w:val="20"/>
              </w:rPr>
              <w:t xml:space="preserve">  Multiple R = .42; </w:t>
            </w:r>
            <w:r w:rsidRPr="00BC2F9B">
              <w:rPr>
                <w:i/>
                <w:iCs/>
                <w:color w:val="000000" w:themeColor="text1"/>
                <w:kern w:val="24"/>
                <w:sz w:val="20"/>
              </w:rPr>
              <w:t>F</w:t>
            </w:r>
            <w:r w:rsidRPr="00BC2F9B">
              <w:rPr>
                <w:color w:val="000000" w:themeColor="text1"/>
                <w:kern w:val="24"/>
                <w:sz w:val="20"/>
              </w:rPr>
              <w:t xml:space="preserve">(3, 228)=16.43, </w:t>
            </w:r>
            <w:r w:rsidRPr="00BC2F9B">
              <w:rPr>
                <w:i/>
                <w:iCs/>
                <w:color w:val="000000" w:themeColor="text1"/>
                <w:kern w:val="24"/>
                <w:sz w:val="20"/>
              </w:rPr>
              <w:t>p</w:t>
            </w:r>
            <w:r w:rsidRPr="00BC2F9B">
              <w:rPr>
                <w:color w:val="000000" w:themeColor="text1"/>
                <w:kern w:val="24"/>
                <w:sz w:val="20"/>
              </w:rPr>
              <w:t xml:space="preserve"> &lt; .001</w:t>
            </w:r>
          </w:p>
        </w:tc>
      </w:tr>
      <w:tr w:rsidR="00F24EE4" w:rsidRPr="00BC2F9B" w:rsidTr="007862C3">
        <w:trPr>
          <w:gridAfter w:val="23"/>
          <w:wAfter w:w="20267" w:type="dxa"/>
          <w:trHeight w:val="432"/>
        </w:trPr>
        <w:tc>
          <w:tcPr>
            <w:tcW w:w="223"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22"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22"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22"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22"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22"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r>
      <w:tr w:rsidR="002D1693" w:rsidRPr="00BC2F9B" w:rsidTr="006A1B67">
        <w:trPr>
          <w:gridAfter w:val="22"/>
          <w:wAfter w:w="17047"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2D1693" w:rsidP="00BC2F9B">
            <w:pPr>
              <w:rPr>
                <w:sz w:val="20"/>
              </w:rPr>
            </w:pPr>
            <w:r w:rsidRPr="00BC2F9B">
              <w:rPr>
                <w:i/>
                <w:iCs/>
                <w:color w:val="000000" w:themeColor="text1"/>
                <w:kern w:val="24"/>
                <w:sz w:val="20"/>
                <w:u w:val="single"/>
              </w:rPr>
              <w:t>Criterion:  Desire for Short-Term Mate</w:t>
            </w:r>
          </w:p>
        </w:tc>
      </w:tr>
      <w:tr w:rsidR="00F24EE4" w:rsidRPr="00BC2F9B" w:rsidTr="006A1B67">
        <w:trPr>
          <w:gridAfter w:val="9"/>
          <w:wAfter w:w="11359"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Sex</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-.33</w:t>
            </w:r>
          </w:p>
        </w:tc>
        <w:tc>
          <w:tcPr>
            <w:tcW w:w="686" w:type="dxa"/>
            <w:gridSpan w:val="2"/>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.-5.24</w:t>
            </w:r>
          </w:p>
        </w:tc>
        <w:tc>
          <w:tcPr>
            <w:tcW w:w="685"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&lt;.001</w:t>
            </w:r>
          </w:p>
        </w:tc>
      </w:tr>
      <w:tr w:rsidR="00F24EE4" w:rsidRPr="00BC2F9B" w:rsidTr="006A1B67">
        <w:trPr>
          <w:gridAfter w:val="9"/>
          <w:wAfter w:w="11359"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PAQ Affective Quality Father </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.05</w:t>
            </w:r>
          </w:p>
        </w:tc>
        <w:tc>
          <w:tcPr>
            <w:tcW w:w="686" w:type="dxa"/>
            <w:gridSpan w:val="2"/>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.69</w:t>
            </w:r>
          </w:p>
        </w:tc>
        <w:tc>
          <w:tcPr>
            <w:tcW w:w="685"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.493</w:t>
            </w:r>
          </w:p>
        </w:tc>
      </w:tr>
      <w:tr w:rsidR="00F24EE4" w:rsidRPr="00BC2F9B" w:rsidTr="006A1B67">
        <w:trPr>
          <w:gridAfter w:val="9"/>
          <w:wAfter w:w="11359" w:type="dxa"/>
          <w:trHeight w:val="48"/>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spacing w:line="48" w:lineRule="atLeast"/>
              <w:rPr>
                <w:sz w:val="20"/>
              </w:rPr>
            </w:pPr>
            <w:r w:rsidRPr="00BC2F9B">
              <w:rPr>
                <w:color w:val="000000" w:themeColor="text1"/>
                <w:kern w:val="24"/>
                <w:sz w:val="20"/>
              </w:rPr>
              <w:t xml:space="preserve">    PAQ Affective Quality Mother </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spacing w:line="48" w:lineRule="atLeast"/>
              <w:jc w:val="center"/>
              <w:rPr>
                <w:sz w:val="20"/>
              </w:rPr>
            </w:pPr>
            <w:r w:rsidRPr="00BC2F9B">
              <w:rPr>
                <w:color w:val="000000" w:themeColor="text1"/>
                <w:kern w:val="24"/>
                <w:sz w:val="20"/>
              </w:rPr>
              <w:t>-.26</w:t>
            </w:r>
          </w:p>
        </w:tc>
        <w:tc>
          <w:tcPr>
            <w:tcW w:w="686" w:type="dxa"/>
            <w:gridSpan w:val="2"/>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spacing w:line="48" w:lineRule="atLeast"/>
              <w:jc w:val="center"/>
              <w:rPr>
                <w:sz w:val="20"/>
              </w:rPr>
            </w:pPr>
            <w:r w:rsidRPr="00BC2F9B">
              <w:rPr>
                <w:color w:val="000000" w:themeColor="text1"/>
                <w:kern w:val="24"/>
                <w:sz w:val="20"/>
              </w:rPr>
              <w:t>-3.55</w:t>
            </w:r>
          </w:p>
        </w:tc>
        <w:tc>
          <w:tcPr>
            <w:tcW w:w="685"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spacing w:line="48" w:lineRule="atLeast"/>
              <w:jc w:val="center"/>
              <w:rPr>
                <w:sz w:val="20"/>
              </w:rPr>
            </w:pPr>
            <w:r w:rsidRPr="00BC2F9B">
              <w:rPr>
                <w:color w:val="000000" w:themeColor="text1"/>
                <w:kern w:val="24"/>
                <w:sz w:val="20"/>
              </w:rPr>
              <w:t>&lt;.001</w:t>
            </w:r>
          </w:p>
        </w:tc>
      </w:tr>
      <w:tr w:rsidR="00F24EE4" w:rsidRPr="00BC2F9B" w:rsidTr="006A1B67">
        <w:trPr>
          <w:trHeight w:val="360"/>
        </w:trPr>
        <w:tc>
          <w:tcPr>
            <w:tcW w:w="13230" w:type="dxa"/>
            <w:gridSpan w:val="24"/>
            <w:tcBorders>
              <w:top w:val="nil"/>
              <w:left w:val="nil"/>
              <w:bottom w:val="nil"/>
              <w:right w:val="nil"/>
            </w:tcBorders>
            <w:shd w:val="clear" w:color="auto" w:fill="auto"/>
            <w:tcMar>
              <w:top w:w="15" w:type="dxa"/>
              <w:left w:w="108" w:type="dxa"/>
              <w:bottom w:w="0" w:type="dxa"/>
              <w:right w:w="108" w:type="dxa"/>
            </w:tcMar>
            <w:vAlign w:val="bottom"/>
            <w:hideMark/>
          </w:tcPr>
          <w:p w:rsidR="007862C3" w:rsidRDefault="007862C3" w:rsidP="00BC2F9B">
            <w:pPr>
              <w:rPr>
                <w:color w:val="000000" w:themeColor="text1"/>
                <w:kern w:val="24"/>
                <w:sz w:val="20"/>
              </w:rPr>
            </w:pPr>
          </w:p>
          <w:p w:rsidR="00BC2F9B" w:rsidRPr="00BC2F9B" w:rsidRDefault="00BC2F9B" w:rsidP="00BC2F9B">
            <w:pPr>
              <w:rPr>
                <w:sz w:val="20"/>
              </w:rPr>
            </w:pPr>
            <w:r w:rsidRPr="00BC2F9B">
              <w:rPr>
                <w:color w:val="000000" w:themeColor="text1"/>
                <w:kern w:val="24"/>
                <w:sz w:val="20"/>
              </w:rPr>
              <w:t xml:space="preserve">  Multiple R = .41; </w:t>
            </w:r>
            <w:r w:rsidRPr="00BC2F9B">
              <w:rPr>
                <w:i/>
                <w:iCs/>
                <w:color w:val="000000" w:themeColor="text1"/>
                <w:kern w:val="24"/>
                <w:sz w:val="20"/>
              </w:rPr>
              <w:t>F</w:t>
            </w:r>
            <w:r w:rsidRPr="00BC2F9B">
              <w:rPr>
                <w:color w:val="000000" w:themeColor="text1"/>
                <w:kern w:val="24"/>
                <w:sz w:val="20"/>
              </w:rPr>
              <w:t xml:space="preserve">(3, 215)=14.64, </w:t>
            </w:r>
            <w:r w:rsidRPr="00BC2F9B">
              <w:rPr>
                <w:i/>
                <w:iCs/>
                <w:color w:val="000000" w:themeColor="text1"/>
                <w:kern w:val="24"/>
                <w:sz w:val="20"/>
              </w:rPr>
              <w:t>p</w:t>
            </w:r>
            <w:r w:rsidRPr="00BC2F9B">
              <w:rPr>
                <w:color w:val="000000" w:themeColor="text1"/>
                <w:kern w:val="24"/>
                <w:sz w:val="20"/>
              </w:rPr>
              <w:t xml:space="preserve"> &lt; .001</w:t>
            </w:r>
          </w:p>
        </w:tc>
        <w:tc>
          <w:tcPr>
            <w:tcW w:w="2256"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c>
          <w:tcPr>
            <w:tcW w:w="764"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c>
          <w:tcPr>
            <w:tcW w:w="2260"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c>
          <w:tcPr>
            <w:tcW w:w="762"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c>
          <w:tcPr>
            <w:tcW w:w="2328"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r>
      <w:tr w:rsidR="00F24EE4" w:rsidRPr="00BC2F9B" w:rsidTr="006A1B67">
        <w:trPr>
          <w:trHeight w:val="432"/>
        </w:trPr>
        <w:tc>
          <w:tcPr>
            <w:tcW w:w="13230" w:type="dxa"/>
            <w:gridSpan w:val="2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256"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764"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260"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762"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328"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r>
      <w:tr w:rsidR="006C5FF1" w:rsidRPr="00BC2F9B" w:rsidTr="006A1B67">
        <w:trPr>
          <w:gridAfter w:val="21"/>
          <w:wAfter w:w="15610"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6C5FF1" w:rsidP="00BC2F9B">
            <w:pPr>
              <w:rPr>
                <w:sz w:val="20"/>
              </w:rPr>
            </w:pPr>
            <w:r w:rsidRPr="00BC2F9B">
              <w:rPr>
                <w:i/>
                <w:iCs/>
                <w:color w:val="000000" w:themeColor="text1"/>
                <w:kern w:val="24"/>
                <w:sz w:val="20"/>
                <w:u w:val="single"/>
              </w:rPr>
              <w:t>Criterion:  Desire for Short-Term Mate</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6C5FF1" w:rsidRPr="00BC2F9B" w:rsidRDefault="006C5FF1" w:rsidP="00BC2F9B">
            <w:pPr>
              <w:rPr>
                <w:sz w:val="20"/>
              </w:rPr>
            </w:pPr>
          </w:p>
        </w:tc>
      </w:tr>
      <w:tr w:rsidR="00F24EE4" w:rsidRPr="00BC2F9B" w:rsidTr="006A1B67">
        <w:trPr>
          <w:gridAfter w:val="8"/>
          <w:wAfter w:w="11285"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Sex</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-.31</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-4.99</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5"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&lt;.001</w:t>
            </w:r>
          </w:p>
        </w:tc>
      </w:tr>
      <w:tr w:rsidR="00F24EE4" w:rsidRPr="00BC2F9B" w:rsidTr="006A1B67">
        <w:trPr>
          <w:gridAfter w:val="8"/>
          <w:wAfter w:w="11285"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PAQ Facilitate Independence Father </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-.01</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-.11</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5"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.916</w:t>
            </w:r>
          </w:p>
        </w:tc>
      </w:tr>
      <w:tr w:rsidR="00F24EE4" w:rsidRPr="00BC2F9B" w:rsidTr="006A1B67">
        <w:trPr>
          <w:gridAfter w:val="8"/>
          <w:wAfter w:w="11285"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PAQ Facilitate Independence Mother </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-.22</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-3.14</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5"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&lt;.001</w:t>
            </w:r>
          </w:p>
        </w:tc>
      </w:tr>
      <w:tr w:rsidR="00F24EE4" w:rsidRPr="00BC2F9B" w:rsidTr="006A1B67">
        <w:trPr>
          <w:trHeight w:val="360"/>
        </w:trPr>
        <w:tc>
          <w:tcPr>
            <w:tcW w:w="13230" w:type="dxa"/>
            <w:gridSpan w:val="24"/>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r w:rsidRPr="00BC2F9B">
              <w:rPr>
                <w:color w:val="000000" w:themeColor="text1"/>
                <w:kern w:val="24"/>
                <w:sz w:val="20"/>
              </w:rPr>
              <w:t xml:space="preserve">  Multiple R = .40; </w:t>
            </w:r>
            <w:r w:rsidRPr="00BC2F9B">
              <w:rPr>
                <w:i/>
                <w:iCs/>
                <w:color w:val="000000" w:themeColor="text1"/>
                <w:kern w:val="24"/>
                <w:sz w:val="20"/>
              </w:rPr>
              <w:t>F</w:t>
            </w:r>
            <w:r w:rsidRPr="00BC2F9B">
              <w:rPr>
                <w:color w:val="000000" w:themeColor="text1"/>
                <w:kern w:val="24"/>
                <w:sz w:val="20"/>
              </w:rPr>
              <w:t xml:space="preserve">(3, 218)=14.14, </w:t>
            </w:r>
            <w:r w:rsidRPr="00BC2F9B">
              <w:rPr>
                <w:i/>
                <w:iCs/>
                <w:color w:val="000000" w:themeColor="text1"/>
                <w:kern w:val="24"/>
                <w:sz w:val="20"/>
              </w:rPr>
              <w:t>p</w:t>
            </w:r>
            <w:r w:rsidRPr="00BC2F9B">
              <w:rPr>
                <w:color w:val="000000" w:themeColor="text1"/>
                <w:kern w:val="24"/>
                <w:sz w:val="20"/>
              </w:rPr>
              <w:t xml:space="preserve"> &lt; .001</w:t>
            </w:r>
          </w:p>
        </w:tc>
        <w:tc>
          <w:tcPr>
            <w:tcW w:w="2256"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c>
          <w:tcPr>
            <w:tcW w:w="764"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c>
          <w:tcPr>
            <w:tcW w:w="2260"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c>
          <w:tcPr>
            <w:tcW w:w="762"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c>
          <w:tcPr>
            <w:tcW w:w="2328" w:type="dxa"/>
            <w:tcBorders>
              <w:top w:val="nil"/>
              <w:left w:val="nil"/>
              <w:bottom w:val="nil"/>
              <w:right w:val="nil"/>
            </w:tcBorders>
            <w:shd w:val="clear" w:color="auto" w:fill="auto"/>
            <w:tcMar>
              <w:top w:w="15" w:type="dxa"/>
              <w:left w:w="108" w:type="dxa"/>
              <w:bottom w:w="0" w:type="dxa"/>
              <w:right w:w="108" w:type="dxa"/>
            </w:tcMar>
            <w:vAlign w:val="bottom"/>
            <w:hideMark/>
          </w:tcPr>
          <w:p w:rsidR="00BC2F9B" w:rsidRPr="00BC2F9B" w:rsidRDefault="00BC2F9B" w:rsidP="00BC2F9B">
            <w:pPr>
              <w:rPr>
                <w:sz w:val="20"/>
              </w:rPr>
            </w:pPr>
          </w:p>
        </w:tc>
      </w:tr>
      <w:tr w:rsidR="00F24EE4" w:rsidRPr="00BC2F9B" w:rsidTr="006A1B67">
        <w:trPr>
          <w:trHeight w:val="432"/>
        </w:trPr>
        <w:tc>
          <w:tcPr>
            <w:tcW w:w="13230" w:type="dxa"/>
            <w:gridSpan w:val="2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256"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764"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260"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762"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2328"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r>
      <w:tr w:rsidR="007862C3" w:rsidRPr="00BC2F9B" w:rsidTr="006A1B67">
        <w:trPr>
          <w:gridAfter w:val="22"/>
          <w:wAfter w:w="17047"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7862C3" w:rsidP="00BC2F9B">
            <w:pPr>
              <w:rPr>
                <w:sz w:val="20"/>
              </w:rPr>
            </w:pPr>
            <w:r w:rsidRPr="00BC2F9B">
              <w:rPr>
                <w:i/>
                <w:iCs/>
                <w:color w:val="000000" w:themeColor="text1"/>
                <w:kern w:val="24"/>
                <w:sz w:val="20"/>
                <w:u w:val="single"/>
              </w:rPr>
              <w:t>Criterion:  Desire for Short-Term Mate</w:t>
            </w:r>
          </w:p>
        </w:tc>
      </w:tr>
      <w:tr w:rsidR="00F24EE4" w:rsidRPr="00BC2F9B" w:rsidTr="006A1B67">
        <w:trPr>
          <w:gridAfter w:val="8"/>
          <w:wAfter w:w="11285"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Sex</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-.32</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-3.84</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5"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&lt;.001</w:t>
            </w:r>
          </w:p>
        </w:tc>
      </w:tr>
      <w:tr w:rsidR="00F24EE4" w:rsidRPr="00BC2F9B" w:rsidTr="006A1B67">
        <w:trPr>
          <w:gridAfter w:val="8"/>
          <w:wAfter w:w="11285"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PAQ Social Support Father </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.11</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1.10</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5"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.274</w:t>
            </w:r>
          </w:p>
        </w:tc>
      </w:tr>
      <w:tr w:rsidR="00F24EE4" w:rsidRPr="00BC2F9B" w:rsidTr="006A1B67">
        <w:trPr>
          <w:gridAfter w:val="8"/>
          <w:wAfter w:w="11285" w:type="dxa"/>
        </w:trPr>
        <w:tc>
          <w:tcPr>
            <w:tcW w:w="4553" w:type="dxa"/>
            <w:gridSpan w:val="7"/>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r w:rsidRPr="00BC2F9B">
              <w:rPr>
                <w:color w:val="000000" w:themeColor="text1"/>
                <w:kern w:val="24"/>
                <w:sz w:val="20"/>
              </w:rPr>
              <w:t xml:space="preserve">    PAQ Social Support Mother </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-.11</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-1.18</w:t>
            </w:r>
          </w:p>
        </w:tc>
        <w:tc>
          <w:tcPr>
            <w:tcW w:w="720" w:type="dxa"/>
            <w:gridSpan w:val="3"/>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rPr>
                <w:sz w:val="20"/>
              </w:rPr>
            </w:pPr>
          </w:p>
        </w:tc>
        <w:tc>
          <w:tcPr>
            <w:tcW w:w="1445" w:type="dxa"/>
            <w:gridSpan w:val="4"/>
            <w:tcBorders>
              <w:top w:val="nil"/>
              <w:left w:val="nil"/>
              <w:bottom w:val="nil"/>
              <w:right w:val="nil"/>
            </w:tcBorders>
            <w:shd w:val="clear" w:color="auto" w:fill="auto"/>
            <w:tcMar>
              <w:top w:w="15" w:type="dxa"/>
              <w:left w:w="108" w:type="dxa"/>
              <w:bottom w:w="0" w:type="dxa"/>
              <w:right w:w="108" w:type="dxa"/>
            </w:tcMar>
            <w:hideMark/>
          </w:tcPr>
          <w:p w:rsidR="00BC2F9B" w:rsidRPr="00BC2F9B" w:rsidRDefault="00BC2F9B" w:rsidP="00BC2F9B">
            <w:pPr>
              <w:jc w:val="center"/>
              <w:rPr>
                <w:sz w:val="20"/>
              </w:rPr>
            </w:pPr>
            <w:r w:rsidRPr="00BC2F9B">
              <w:rPr>
                <w:color w:val="000000" w:themeColor="text1"/>
                <w:kern w:val="24"/>
                <w:sz w:val="20"/>
              </w:rPr>
              <w:t>.240</w:t>
            </w:r>
          </w:p>
        </w:tc>
      </w:tr>
      <w:tr w:rsidR="006A1B67" w:rsidRPr="00BC2F9B" w:rsidTr="006A1B67">
        <w:trPr>
          <w:gridAfter w:val="6"/>
          <w:wAfter w:w="10512" w:type="dxa"/>
          <w:trHeight w:val="432"/>
        </w:trPr>
        <w:tc>
          <w:tcPr>
            <w:tcW w:w="11088" w:type="dxa"/>
            <w:gridSpan w:val="23"/>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rsidR="006A1B67" w:rsidRDefault="006A1B67" w:rsidP="00BC2F9B">
            <w:pPr>
              <w:rPr>
                <w:color w:val="000000" w:themeColor="text1"/>
                <w:kern w:val="24"/>
                <w:sz w:val="20"/>
              </w:rPr>
            </w:pPr>
          </w:p>
          <w:p w:rsidR="006A1B67" w:rsidRDefault="006A1B67" w:rsidP="00BC2F9B">
            <w:pPr>
              <w:rPr>
                <w:color w:val="000000" w:themeColor="text1"/>
                <w:kern w:val="24"/>
                <w:sz w:val="20"/>
              </w:rPr>
            </w:pPr>
            <w:r w:rsidRPr="00BC2F9B">
              <w:rPr>
                <w:color w:val="000000" w:themeColor="text1"/>
                <w:kern w:val="24"/>
                <w:sz w:val="20"/>
              </w:rPr>
              <w:t xml:space="preserve">  Multiple R = .36; </w:t>
            </w:r>
            <w:r w:rsidRPr="00BC2F9B">
              <w:rPr>
                <w:i/>
                <w:iCs/>
                <w:color w:val="000000" w:themeColor="text1"/>
                <w:kern w:val="24"/>
                <w:sz w:val="20"/>
              </w:rPr>
              <w:t>F</w:t>
            </w:r>
            <w:r w:rsidRPr="00BC2F9B">
              <w:rPr>
                <w:color w:val="000000" w:themeColor="text1"/>
                <w:kern w:val="24"/>
                <w:sz w:val="20"/>
              </w:rPr>
              <w:t xml:space="preserve">(3, 133)=6.44, </w:t>
            </w:r>
            <w:r w:rsidRPr="00BC2F9B">
              <w:rPr>
                <w:i/>
                <w:iCs/>
                <w:color w:val="000000" w:themeColor="text1"/>
                <w:kern w:val="24"/>
                <w:sz w:val="20"/>
              </w:rPr>
              <w:t>p</w:t>
            </w:r>
            <w:r w:rsidRPr="00BC2F9B">
              <w:rPr>
                <w:color w:val="000000" w:themeColor="text1"/>
                <w:kern w:val="24"/>
                <w:sz w:val="20"/>
              </w:rPr>
              <w:t xml:space="preserve"> &lt; .001</w:t>
            </w:r>
          </w:p>
          <w:p w:rsidR="006A1B67" w:rsidRPr="00BC2F9B" w:rsidRDefault="006A1B67" w:rsidP="00BC2F9B">
            <w:pPr>
              <w:rPr>
                <w:sz w:val="20"/>
              </w:rPr>
            </w:pPr>
          </w:p>
        </w:tc>
      </w:tr>
    </w:tbl>
    <w:p w:rsidR="00BC2F9B" w:rsidRPr="00BC2F9B" w:rsidRDefault="00BC2F9B" w:rsidP="000C38A1">
      <w:pPr>
        <w:rPr>
          <w:sz w:val="20"/>
        </w:rPr>
      </w:pPr>
    </w:p>
    <w:p w:rsidR="00BC2F9B" w:rsidRPr="00BC2F9B" w:rsidRDefault="00BC2F9B" w:rsidP="000C38A1">
      <w:pPr>
        <w:rPr>
          <w:sz w:val="20"/>
        </w:rPr>
      </w:pPr>
    </w:p>
    <w:p w:rsidR="0091655D" w:rsidRDefault="0091655D">
      <w:pPr>
        <w:rPr>
          <w:szCs w:val="22"/>
        </w:rPr>
      </w:pPr>
    </w:p>
    <w:sectPr w:rsidR="0091655D" w:rsidSect="00810A63">
      <w:pgSz w:w="12240" w:h="15840" w:code="1"/>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D7004"/>
    <w:multiLevelType w:val="multilevel"/>
    <w:tmpl w:val="9794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77"/>
    <w:rsid w:val="00010586"/>
    <w:rsid w:val="000132F1"/>
    <w:rsid w:val="00025EA5"/>
    <w:rsid w:val="00052B64"/>
    <w:rsid w:val="00054386"/>
    <w:rsid w:val="00073638"/>
    <w:rsid w:val="000862D3"/>
    <w:rsid w:val="000A5976"/>
    <w:rsid w:val="000C38A1"/>
    <w:rsid w:val="000E5BCC"/>
    <w:rsid w:val="00100F25"/>
    <w:rsid w:val="00117E79"/>
    <w:rsid w:val="00121297"/>
    <w:rsid w:val="00130D24"/>
    <w:rsid w:val="001355E5"/>
    <w:rsid w:val="001405D6"/>
    <w:rsid w:val="001569B0"/>
    <w:rsid w:val="0018727C"/>
    <w:rsid w:val="00195F87"/>
    <w:rsid w:val="001E5545"/>
    <w:rsid w:val="001E5952"/>
    <w:rsid w:val="001F75BB"/>
    <w:rsid w:val="0021276F"/>
    <w:rsid w:val="002163ED"/>
    <w:rsid w:val="0023406B"/>
    <w:rsid w:val="00252980"/>
    <w:rsid w:val="00261736"/>
    <w:rsid w:val="0026498F"/>
    <w:rsid w:val="00267C15"/>
    <w:rsid w:val="00270695"/>
    <w:rsid w:val="00275047"/>
    <w:rsid w:val="00282F5E"/>
    <w:rsid w:val="002912AD"/>
    <w:rsid w:val="002A1218"/>
    <w:rsid w:val="002B1EA5"/>
    <w:rsid w:val="002D1693"/>
    <w:rsid w:val="002D7C54"/>
    <w:rsid w:val="002F6366"/>
    <w:rsid w:val="002F7AB2"/>
    <w:rsid w:val="00302EC1"/>
    <w:rsid w:val="00307953"/>
    <w:rsid w:val="003100F9"/>
    <w:rsid w:val="00325994"/>
    <w:rsid w:val="003377C9"/>
    <w:rsid w:val="003432B4"/>
    <w:rsid w:val="003463DC"/>
    <w:rsid w:val="0034793F"/>
    <w:rsid w:val="00354AC4"/>
    <w:rsid w:val="003609F0"/>
    <w:rsid w:val="00375880"/>
    <w:rsid w:val="003A03E2"/>
    <w:rsid w:val="003B5240"/>
    <w:rsid w:val="003C4F17"/>
    <w:rsid w:val="003D64A9"/>
    <w:rsid w:val="004175FD"/>
    <w:rsid w:val="00437E00"/>
    <w:rsid w:val="00477956"/>
    <w:rsid w:val="0049155A"/>
    <w:rsid w:val="004B09E6"/>
    <w:rsid w:val="004B1332"/>
    <w:rsid w:val="004E1C0D"/>
    <w:rsid w:val="004F370B"/>
    <w:rsid w:val="0050050B"/>
    <w:rsid w:val="00506D77"/>
    <w:rsid w:val="005106D5"/>
    <w:rsid w:val="005145CF"/>
    <w:rsid w:val="005254DD"/>
    <w:rsid w:val="005551C6"/>
    <w:rsid w:val="00567386"/>
    <w:rsid w:val="005740B3"/>
    <w:rsid w:val="005A3D2C"/>
    <w:rsid w:val="005A48FB"/>
    <w:rsid w:val="005A7F52"/>
    <w:rsid w:val="005C5929"/>
    <w:rsid w:val="005D68B0"/>
    <w:rsid w:val="005E58AE"/>
    <w:rsid w:val="005F7E63"/>
    <w:rsid w:val="006122AE"/>
    <w:rsid w:val="0061235C"/>
    <w:rsid w:val="00614AB8"/>
    <w:rsid w:val="00615221"/>
    <w:rsid w:val="00632ED3"/>
    <w:rsid w:val="0066366A"/>
    <w:rsid w:val="00684EF1"/>
    <w:rsid w:val="00691A77"/>
    <w:rsid w:val="00696FE3"/>
    <w:rsid w:val="006A1B67"/>
    <w:rsid w:val="006A28C5"/>
    <w:rsid w:val="006C4CDD"/>
    <w:rsid w:val="006C5FF1"/>
    <w:rsid w:val="007076F0"/>
    <w:rsid w:val="00726094"/>
    <w:rsid w:val="00734EE5"/>
    <w:rsid w:val="0075391E"/>
    <w:rsid w:val="00760EBD"/>
    <w:rsid w:val="00775B5D"/>
    <w:rsid w:val="00782E1D"/>
    <w:rsid w:val="007862C3"/>
    <w:rsid w:val="007A2C39"/>
    <w:rsid w:val="007B5E04"/>
    <w:rsid w:val="007B716F"/>
    <w:rsid w:val="007D7730"/>
    <w:rsid w:val="00810A63"/>
    <w:rsid w:val="00810C64"/>
    <w:rsid w:val="008203ED"/>
    <w:rsid w:val="00846903"/>
    <w:rsid w:val="00872155"/>
    <w:rsid w:val="0089429A"/>
    <w:rsid w:val="008B2C12"/>
    <w:rsid w:val="008C148F"/>
    <w:rsid w:val="008D68CE"/>
    <w:rsid w:val="008E067B"/>
    <w:rsid w:val="0090002C"/>
    <w:rsid w:val="009045A2"/>
    <w:rsid w:val="00912FC3"/>
    <w:rsid w:val="0091655D"/>
    <w:rsid w:val="00952CCB"/>
    <w:rsid w:val="009760E6"/>
    <w:rsid w:val="009776FD"/>
    <w:rsid w:val="009B55E7"/>
    <w:rsid w:val="009C3AE2"/>
    <w:rsid w:val="009D194D"/>
    <w:rsid w:val="009D1FAE"/>
    <w:rsid w:val="009D319F"/>
    <w:rsid w:val="009D519C"/>
    <w:rsid w:val="009E2CE1"/>
    <w:rsid w:val="009E767F"/>
    <w:rsid w:val="00A32CA5"/>
    <w:rsid w:val="00A43DEE"/>
    <w:rsid w:val="00A54174"/>
    <w:rsid w:val="00A648A3"/>
    <w:rsid w:val="00A77926"/>
    <w:rsid w:val="00A92F54"/>
    <w:rsid w:val="00A93941"/>
    <w:rsid w:val="00AB003E"/>
    <w:rsid w:val="00AB74C2"/>
    <w:rsid w:val="00AC00AE"/>
    <w:rsid w:val="00AC1D3D"/>
    <w:rsid w:val="00AC6DDB"/>
    <w:rsid w:val="00AD7E9C"/>
    <w:rsid w:val="00AE1ACA"/>
    <w:rsid w:val="00AE340F"/>
    <w:rsid w:val="00B05DE1"/>
    <w:rsid w:val="00B2297C"/>
    <w:rsid w:val="00B517E4"/>
    <w:rsid w:val="00B55032"/>
    <w:rsid w:val="00B5510A"/>
    <w:rsid w:val="00B61453"/>
    <w:rsid w:val="00B90FCC"/>
    <w:rsid w:val="00BA01F7"/>
    <w:rsid w:val="00BA4E43"/>
    <w:rsid w:val="00BB7823"/>
    <w:rsid w:val="00BC21C8"/>
    <w:rsid w:val="00BC2F9B"/>
    <w:rsid w:val="00BD38BA"/>
    <w:rsid w:val="00BE0437"/>
    <w:rsid w:val="00BE6808"/>
    <w:rsid w:val="00BF5F69"/>
    <w:rsid w:val="00C119F2"/>
    <w:rsid w:val="00C16C54"/>
    <w:rsid w:val="00C23933"/>
    <w:rsid w:val="00C34377"/>
    <w:rsid w:val="00C350CF"/>
    <w:rsid w:val="00C4547F"/>
    <w:rsid w:val="00C65975"/>
    <w:rsid w:val="00C65CB2"/>
    <w:rsid w:val="00CA3BBA"/>
    <w:rsid w:val="00CB10E3"/>
    <w:rsid w:val="00CC2354"/>
    <w:rsid w:val="00D11020"/>
    <w:rsid w:val="00D21942"/>
    <w:rsid w:val="00D2682A"/>
    <w:rsid w:val="00D30D10"/>
    <w:rsid w:val="00D35D07"/>
    <w:rsid w:val="00D40F5A"/>
    <w:rsid w:val="00D42448"/>
    <w:rsid w:val="00D430D8"/>
    <w:rsid w:val="00D647F0"/>
    <w:rsid w:val="00D72DBA"/>
    <w:rsid w:val="00D74117"/>
    <w:rsid w:val="00DA0422"/>
    <w:rsid w:val="00DA22D9"/>
    <w:rsid w:val="00DC0C42"/>
    <w:rsid w:val="00DC1731"/>
    <w:rsid w:val="00DE202D"/>
    <w:rsid w:val="00E22652"/>
    <w:rsid w:val="00E34623"/>
    <w:rsid w:val="00E35A32"/>
    <w:rsid w:val="00E37DDA"/>
    <w:rsid w:val="00E762F1"/>
    <w:rsid w:val="00E83B8F"/>
    <w:rsid w:val="00E85177"/>
    <w:rsid w:val="00E902A0"/>
    <w:rsid w:val="00EC49CA"/>
    <w:rsid w:val="00ED2613"/>
    <w:rsid w:val="00F01F50"/>
    <w:rsid w:val="00F02FFD"/>
    <w:rsid w:val="00F07345"/>
    <w:rsid w:val="00F24EE4"/>
    <w:rsid w:val="00F250F1"/>
    <w:rsid w:val="00F32576"/>
    <w:rsid w:val="00F50C68"/>
    <w:rsid w:val="00F60B23"/>
    <w:rsid w:val="00F66559"/>
    <w:rsid w:val="00F700A0"/>
    <w:rsid w:val="00F754B0"/>
    <w:rsid w:val="00F808C7"/>
    <w:rsid w:val="00F852D6"/>
    <w:rsid w:val="00FA70E5"/>
    <w:rsid w:val="00FB0EA4"/>
    <w:rsid w:val="00FC22C7"/>
    <w:rsid w:val="00FD1136"/>
    <w:rsid w:val="00FD3911"/>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FD"/>
    <w:rPr>
      <w:sz w:val="22"/>
    </w:rPr>
  </w:style>
  <w:style w:type="paragraph" w:styleId="Heading1">
    <w:name w:val="heading 1"/>
    <w:basedOn w:val="Normal"/>
    <w:next w:val="Normal"/>
    <w:qFormat/>
    <w:rsid w:val="004175FD"/>
    <w:pPr>
      <w:keepNext/>
      <w:outlineLvl w:val="0"/>
    </w:pPr>
    <w:rPr>
      <w:b/>
      <w:bCs/>
      <w:u w:val="single"/>
    </w:rPr>
  </w:style>
  <w:style w:type="paragraph" w:styleId="Heading5">
    <w:name w:val="heading 5"/>
    <w:basedOn w:val="Normal"/>
    <w:next w:val="Normal"/>
    <w:qFormat/>
    <w:rsid w:val="004175FD"/>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175FD"/>
    <w:pPr>
      <w:spacing w:after="120"/>
    </w:pPr>
    <w:rPr>
      <w:i/>
      <w:sz w:val="24"/>
    </w:rPr>
  </w:style>
  <w:style w:type="character" w:styleId="Emphasis">
    <w:name w:val="Emphasis"/>
    <w:basedOn w:val="DefaultParagraphFont"/>
    <w:uiPriority w:val="20"/>
    <w:qFormat/>
    <w:rsid w:val="00DC0C42"/>
    <w:rPr>
      <w:i/>
      <w:iCs/>
    </w:rPr>
  </w:style>
  <w:style w:type="character" w:customStyle="1" w:styleId="medium-font">
    <w:name w:val="medium-font"/>
    <w:basedOn w:val="DefaultParagraphFont"/>
    <w:rsid w:val="007B5E04"/>
  </w:style>
  <w:style w:type="paragraph" w:styleId="NormalWeb">
    <w:name w:val="Normal (Web)"/>
    <w:basedOn w:val="Normal"/>
    <w:uiPriority w:val="99"/>
    <w:unhideWhenUsed/>
    <w:rsid w:val="00C119F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06D77"/>
    <w:rPr>
      <w:rFonts w:ascii="Tahoma" w:hAnsi="Tahoma" w:cs="Tahoma"/>
      <w:sz w:val="16"/>
      <w:szCs w:val="16"/>
    </w:rPr>
  </w:style>
  <w:style w:type="character" w:customStyle="1" w:styleId="BalloonTextChar">
    <w:name w:val="Balloon Text Char"/>
    <w:basedOn w:val="DefaultParagraphFont"/>
    <w:link w:val="BalloonText"/>
    <w:uiPriority w:val="99"/>
    <w:semiHidden/>
    <w:rsid w:val="00506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FD"/>
    <w:rPr>
      <w:sz w:val="22"/>
    </w:rPr>
  </w:style>
  <w:style w:type="paragraph" w:styleId="Heading1">
    <w:name w:val="heading 1"/>
    <w:basedOn w:val="Normal"/>
    <w:next w:val="Normal"/>
    <w:qFormat/>
    <w:rsid w:val="004175FD"/>
    <w:pPr>
      <w:keepNext/>
      <w:outlineLvl w:val="0"/>
    </w:pPr>
    <w:rPr>
      <w:b/>
      <w:bCs/>
      <w:u w:val="single"/>
    </w:rPr>
  </w:style>
  <w:style w:type="paragraph" w:styleId="Heading5">
    <w:name w:val="heading 5"/>
    <w:basedOn w:val="Normal"/>
    <w:next w:val="Normal"/>
    <w:qFormat/>
    <w:rsid w:val="004175FD"/>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175FD"/>
    <w:pPr>
      <w:spacing w:after="120"/>
    </w:pPr>
    <w:rPr>
      <w:i/>
      <w:sz w:val="24"/>
    </w:rPr>
  </w:style>
  <w:style w:type="character" w:styleId="Emphasis">
    <w:name w:val="Emphasis"/>
    <w:basedOn w:val="DefaultParagraphFont"/>
    <w:uiPriority w:val="20"/>
    <w:qFormat/>
    <w:rsid w:val="00DC0C42"/>
    <w:rPr>
      <w:i/>
      <w:iCs/>
    </w:rPr>
  </w:style>
  <w:style w:type="character" w:customStyle="1" w:styleId="medium-font">
    <w:name w:val="medium-font"/>
    <w:basedOn w:val="DefaultParagraphFont"/>
    <w:rsid w:val="007B5E04"/>
  </w:style>
  <w:style w:type="paragraph" w:styleId="NormalWeb">
    <w:name w:val="Normal (Web)"/>
    <w:basedOn w:val="Normal"/>
    <w:uiPriority w:val="99"/>
    <w:unhideWhenUsed/>
    <w:rsid w:val="00C119F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06D77"/>
    <w:rPr>
      <w:rFonts w:ascii="Tahoma" w:hAnsi="Tahoma" w:cs="Tahoma"/>
      <w:sz w:val="16"/>
      <w:szCs w:val="16"/>
    </w:rPr>
  </w:style>
  <w:style w:type="character" w:customStyle="1" w:styleId="BalloonTextChar">
    <w:name w:val="Balloon Text Char"/>
    <w:basedOn w:val="DefaultParagraphFont"/>
    <w:link w:val="BalloonText"/>
    <w:uiPriority w:val="99"/>
    <w:semiHidden/>
    <w:rsid w:val="00506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9588">
      <w:bodyDiv w:val="1"/>
      <w:marLeft w:val="0"/>
      <w:marRight w:val="0"/>
      <w:marTop w:val="0"/>
      <w:marBottom w:val="0"/>
      <w:divBdr>
        <w:top w:val="none" w:sz="0" w:space="0" w:color="auto"/>
        <w:left w:val="none" w:sz="0" w:space="0" w:color="auto"/>
        <w:bottom w:val="none" w:sz="0" w:space="0" w:color="auto"/>
        <w:right w:val="none" w:sz="0" w:space="0" w:color="auto"/>
      </w:divBdr>
    </w:div>
    <w:div w:id="80958042">
      <w:bodyDiv w:val="1"/>
      <w:marLeft w:val="0"/>
      <w:marRight w:val="0"/>
      <w:marTop w:val="0"/>
      <w:marBottom w:val="0"/>
      <w:divBdr>
        <w:top w:val="none" w:sz="0" w:space="0" w:color="auto"/>
        <w:left w:val="none" w:sz="0" w:space="0" w:color="auto"/>
        <w:bottom w:val="none" w:sz="0" w:space="0" w:color="auto"/>
        <w:right w:val="none" w:sz="0" w:space="0" w:color="auto"/>
      </w:divBdr>
    </w:div>
    <w:div w:id="681972473">
      <w:bodyDiv w:val="1"/>
      <w:marLeft w:val="0"/>
      <w:marRight w:val="0"/>
      <w:marTop w:val="0"/>
      <w:marBottom w:val="0"/>
      <w:divBdr>
        <w:top w:val="none" w:sz="0" w:space="0" w:color="auto"/>
        <w:left w:val="none" w:sz="0" w:space="0" w:color="auto"/>
        <w:bottom w:val="none" w:sz="0" w:space="0" w:color="auto"/>
        <w:right w:val="none" w:sz="0" w:space="0" w:color="auto"/>
      </w:divBdr>
    </w:div>
    <w:div w:id="1008992476">
      <w:bodyDiv w:val="1"/>
      <w:marLeft w:val="0"/>
      <w:marRight w:val="0"/>
      <w:marTop w:val="0"/>
      <w:marBottom w:val="0"/>
      <w:divBdr>
        <w:top w:val="none" w:sz="0" w:space="0" w:color="auto"/>
        <w:left w:val="none" w:sz="0" w:space="0" w:color="auto"/>
        <w:bottom w:val="none" w:sz="0" w:space="0" w:color="auto"/>
        <w:right w:val="none" w:sz="0" w:space="0" w:color="auto"/>
      </w:divBdr>
    </w:div>
    <w:div w:id="1039284919">
      <w:bodyDiv w:val="1"/>
      <w:marLeft w:val="0"/>
      <w:marRight w:val="0"/>
      <w:marTop w:val="0"/>
      <w:marBottom w:val="0"/>
      <w:divBdr>
        <w:top w:val="none" w:sz="0" w:space="0" w:color="auto"/>
        <w:left w:val="none" w:sz="0" w:space="0" w:color="auto"/>
        <w:bottom w:val="none" w:sz="0" w:space="0" w:color="auto"/>
        <w:right w:val="none" w:sz="0" w:space="0" w:color="auto"/>
      </w:divBdr>
    </w:div>
    <w:div w:id="1042167108">
      <w:bodyDiv w:val="1"/>
      <w:marLeft w:val="0"/>
      <w:marRight w:val="0"/>
      <w:marTop w:val="0"/>
      <w:marBottom w:val="0"/>
      <w:divBdr>
        <w:top w:val="none" w:sz="0" w:space="0" w:color="auto"/>
        <w:left w:val="none" w:sz="0" w:space="0" w:color="auto"/>
        <w:bottom w:val="none" w:sz="0" w:space="0" w:color="auto"/>
        <w:right w:val="none" w:sz="0" w:space="0" w:color="auto"/>
      </w:divBdr>
    </w:div>
    <w:div w:id="1080253875">
      <w:bodyDiv w:val="1"/>
      <w:marLeft w:val="0"/>
      <w:marRight w:val="0"/>
      <w:marTop w:val="0"/>
      <w:marBottom w:val="0"/>
      <w:divBdr>
        <w:top w:val="none" w:sz="0" w:space="0" w:color="auto"/>
        <w:left w:val="none" w:sz="0" w:space="0" w:color="auto"/>
        <w:bottom w:val="none" w:sz="0" w:space="0" w:color="auto"/>
        <w:right w:val="none" w:sz="0" w:space="0" w:color="auto"/>
      </w:divBdr>
    </w:div>
    <w:div w:id="1396664126">
      <w:bodyDiv w:val="1"/>
      <w:marLeft w:val="0"/>
      <w:marRight w:val="0"/>
      <w:marTop w:val="0"/>
      <w:marBottom w:val="0"/>
      <w:divBdr>
        <w:top w:val="none" w:sz="0" w:space="0" w:color="auto"/>
        <w:left w:val="none" w:sz="0" w:space="0" w:color="auto"/>
        <w:bottom w:val="none" w:sz="0" w:space="0" w:color="auto"/>
        <w:right w:val="none" w:sz="0" w:space="0" w:color="auto"/>
      </w:divBdr>
    </w:div>
    <w:div w:id="1420524855">
      <w:bodyDiv w:val="1"/>
      <w:marLeft w:val="0"/>
      <w:marRight w:val="0"/>
      <w:marTop w:val="0"/>
      <w:marBottom w:val="0"/>
      <w:divBdr>
        <w:top w:val="none" w:sz="0" w:space="0" w:color="auto"/>
        <w:left w:val="none" w:sz="0" w:space="0" w:color="auto"/>
        <w:bottom w:val="none" w:sz="0" w:space="0" w:color="auto"/>
        <w:right w:val="none" w:sz="0" w:space="0" w:color="auto"/>
      </w:divBdr>
    </w:div>
    <w:div w:id="1693343051">
      <w:bodyDiv w:val="1"/>
      <w:marLeft w:val="0"/>
      <w:marRight w:val="0"/>
      <w:marTop w:val="0"/>
      <w:marBottom w:val="0"/>
      <w:divBdr>
        <w:top w:val="none" w:sz="0" w:space="0" w:color="auto"/>
        <w:left w:val="none" w:sz="0" w:space="0" w:color="auto"/>
        <w:bottom w:val="none" w:sz="0" w:space="0" w:color="auto"/>
        <w:right w:val="none" w:sz="0" w:space="0" w:color="auto"/>
      </w:divBdr>
    </w:div>
    <w:div w:id="1762487402">
      <w:bodyDiv w:val="1"/>
      <w:marLeft w:val="0"/>
      <w:marRight w:val="0"/>
      <w:marTop w:val="0"/>
      <w:marBottom w:val="0"/>
      <w:divBdr>
        <w:top w:val="none" w:sz="0" w:space="0" w:color="auto"/>
        <w:left w:val="none" w:sz="0" w:space="0" w:color="auto"/>
        <w:bottom w:val="none" w:sz="0" w:space="0" w:color="auto"/>
        <w:right w:val="none" w:sz="0" w:space="0" w:color="auto"/>
      </w:divBdr>
    </w:div>
    <w:div w:id="1771973795">
      <w:bodyDiv w:val="1"/>
      <w:marLeft w:val="0"/>
      <w:marRight w:val="0"/>
      <w:marTop w:val="0"/>
      <w:marBottom w:val="0"/>
      <w:divBdr>
        <w:top w:val="none" w:sz="0" w:space="0" w:color="auto"/>
        <w:left w:val="none" w:sz="0" w:space="0" w:color="auto"/>
        <w:bottom w:val="none" w:sz="0" w:space="0" w:color="auto"/>
        <w:right w:val="none" w:sz="0" w:space="0" w:color="auto"/>
      </w:divBdr>
    </w:div>
    <w:div w:id="1812748093">
      <w:bodyDiv w:val="1"/>
      <w:marLeft w:val="0"/>
      <w:marRight w:val="0"/>
      <w:marTop w:val="0"/>
      <w:marBottom w:val="0"/>
      <w:divBdr>
        <w:top w:val="none" w:sz="0" w:space="0" w:color="auto"/>
        <w:left w:val="none" w:sz="0" w:space="0" w:color="auto"/>
        <w:bottom w:val="none" w:sz="0" w:space="0" w:color="auto"/>
        <w:right w:val="none" w:sz="0" w:space="0" w:color="auto"/>
      </w:divBdr>
    </w:div>
    <w:div w:id="1821538071">
      <w:bodyDiv w:val="1"/>
      <w:marLeft w:val="0"/>
      <w:marRight w:val="0"/>
      <w:marTop w:val="0"/>
      <w:marBottom w:val="0"/>
      <w:divBdr>
        <w:top w:val="none" w:sz="0" w:space="0" w:color="auto"/>
        <w:left w:val="none" w:sz="0" w:space="0" w:color="auto"/>
        <w:bottom w:val="none" w:sz="0" w:space="0" w:color="auto"/>
        <w:right w:val="none" w:sz="0" w:space="0" w:color="auto"/>
      </w:divBdr>
    </w:div>
    <w:div w:id="207908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7FCD-F5C3-4326-A18E-66BFD994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Title:   Need for Cognition and Psychosocial Identity Status</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Need for Cognition and Psychosocial Identity Status</dc:title>
  <dc:creator>Luther College</dc:creator>
  <cp:lastModifiedBy>njusdavi</cp:lastModifiedBy>
  <cp:revision>29</cp:revision>
  <cp:lastPrinted>2011-07-29T14:53:00Z</cp:lastPrinted>
  <dcterms:created xsi:type="dcterms:W3CDTF">2011-07-29T13:50:00Z</dcterms:created>
  <dcterms:modified xsi:type="dcterms:W3CDTF">2011-07-29T15:07:00Z</dcterms:modified>
</cp:coreProperties>
</file>